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C08" w:rsidRPr="000937E7" w:rsidRDefault="00AB6C08" w:rsidP="00451E47">
      <w:pPr>
        <w:spacing w:after="0" w:line="288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  <w:bookmarkStart w:id="0" w:name="_GoBack"/>
      <w:bookmarkEnd w:id="0"/>
      <w:r w:rsidRPr="000937E7">
        <w:rPr>
          <w:rFonts w:ascii="Times New Roman" w:hAnsi="Times New Roman" w:cs="Times New Roman"/>
          <w:i/>
          <w:sz w:val="24"/>
        </w:rPr>
        <w:t>Заздравных А.В.</w:t>
      </w:r>
    </w:p>
    <w:p w:rsidR="0004421B" w:rsidRPr="000937E7" w:rsidRDefault="00987D1B" w:rsidP="00451E47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0937E7">
        <w:rPr>
          <w:rFonts w:ascii="Times New Roman" w:hAnsi="Times New Roman" w:cs="Times New Roman"/>
          <w:b/>
          <w:sz w:val="24"/>
        </w:rPr>
        <w:t>Отраслевая динамика</w:t>
      </w:r>
      <w:r w:rsidR="0004421B" w:rsidRPr="000937E7">
        <w:rPr>
          <w:rFonts w:ascii="Times New Roman" w:hAnsi="Times New Roman" w:cs="Times New Roman"/>
          <w:b/>
          <w:sz w:val="24"/>
        </w:rPr>
        <w:t xml:space="preserve"> </w:t>
      </w:r>
      <w:r w:rsidR="00995B1B" w:rsidRPr="000937E7">
        <w:rPr>
          <w:rFonts w:ascii="Times New Roman" w:hAnsi="Times New Roman" w:cs="Times New Roman"/>
          <w:b/>
          <w:sz w:val="24"/>
        </w:rPr>
        <w:t xml:space="preserve">российских </w:t>
      </w:r>
      <w:r w:rsidR="0004421B" w:rsidRPr="000937E7">
        <w:rPr>
          <w:rFonts w:ascii="Times New Roman" w:hAnsi="Times New Roman" w:cs="Times New Roman"/>
          <w:b/>
          <w:sz w:val="24"/>
        </w:rPr>
        <w:t xml:space="preserve">компаний: </w:t>
      </w:r>
    </w:p>
    <w:p w:rsidR="0004421B" w:rsidRPr="000937E7" w:rsidRDefault="00987D1B" w:rsidP="00451E47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0937E7">
        <w:rPr>
          <w:rFonts w:ascii="Times New Roman" w:hAnsi="Times New Roman" w:cs="Times New Roman"/>
          <w:b/>
          <w:sz w:val="24"/>
        </w:rPr>
        <w:t>вопросы теории</w:t>
      </w:r>
      <w:r w:rsidR="00CE07D6">
        <w:rPr>
          <w:rFonts w:ascii="Times New Roman" w:hAnsi="Times New Roman" w:cs="Times New Roman"/>
          <w:b/>
          <w:sz w:val="24"/>
        </w:rPr>
        <w:t xml:space="preserve"> </w:t>
      </w:r>
      <w:r w:rsidR="0004421B" w:rsidRPr="000937E7">
        <w:rPr>
          <w:rFonts w:ascii="Times New Roman" w:hAnsi="Times New Roman" w:cs="Times New Roman"/>
          <w:b/>
          <w:sz w:val="24"/>
        </w:rPr>
        <w:t>и результаты</w:t>
      </w:r>
      <w:r w:rsidR="00995B1B" w:rsidRPr="000937E7">
        <w:rPr>
          <w:rFonts w:ascii="Times New Roman" w:hAnsi="Times New Roman" w:cs="Times New Roman"/>
          <w:b/>
          <w:sz w:val="24"/>
        </w:rPr>
        <w:t xml:space="preserve"> </w:t>
      </w:r>
      <w:r w:rsidRPr="000937E7">
        <w:rPr>
          <w:rFonts w:ascii="Times New Roman" w:hAnsi="Times New Roman" w:cs="Times New Roman"/>
          <w:b/>
          <w:sz w:val="24"/>
        </w:rPr>
        <w:t xml:space="preserve">эмпирического </w:t>
      </w:r>
      <w:r w:rsidR="00995B1B" w:rsidRPr="000937E7">
        <w:rPr>
          <w:rFonts w:ascii="Times New Roman" w:hAnsi="Times New Roman" w:cs="Times New Roman"/>
          <w:b/>
          <w:sz w:val="24"/>
        </w:rPr>
        <w:t>исследования</w:t>
      </w:r>
    </w:p>
    <w:p w:rsidR="00AB6C08" w:rsidRPr="000937E7" w:rsidRDefault="0004421B" w:rsidP="00451E47">
      <w:pPr>
        <w:spacing w:after="0" w:line="288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0937E7">
        <w:rPr>
          <w:rFonts w:ascii="Times New Roman" w:hAnsi="Times New Roman" w:cs="Times New Roman"/>
          <w:i/>
          <w:sz w:val="24"/>
        </w:rPr>
        <w:t>(т</w:t>
      </w:r>
      <w:r w:rsidR="00AB6C08" w:rsidRPr="000937E7">
        <w:rPr>
          <w:rFonts w:ascii="Times New Roman" w:hAnsi="Times New Roman" w:cs="Times New Roman"/>
          <w:i/>
          <w:sz w:val="24"/>
        </w:rPr>
        <w:t>езисы доклада</w:t>
      </w:r>
      <w:r w:rsidRPr="000937E7">
        <w:rPr>
          <w:rFonts w:ascii="Times New Roman" w:hAnsi="Times New Roman" w:cs="Times New Roman"/>
          <w:i/>
          <w:sz w:val="24"/>
        </w:rPr>
        <w:t>)</w:t>
      </w:r>
      <w:r w:rsidR="00AB6C08" w:rsidRPr="000937E7">
        <w:rPr>
          <w:rFonts w:ascii="Times New Roman" w:hAnsi="Times New Roman" w:cs="Times New Roman"/>
          <w:i/>
          <w:sz w:val="24"/>
        </w:rPr>
        <w:t xml:space="preserve"> </w:t>
      </w:r>
    </w:p>
    <w:p w:rsidR="005975A3" w:rsidRPr="000937E7" w:rsidRDefault="005975A3" w:rsidP="00451E4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937E7">
        <w:rPr>
          <w:rFonts w:ascii="Times New Roman" w:hAnsi="Times New Roman" w:cs="Times New Roman"/>
          <w:sz w:val="24"/>
        </w:rPr>
        <w:t xml:space="preserve">1. Развитая динамика компаний, характеризуемая ее отдельными компонентами (входом новых фирм, их выживанием, ростом, выходом и пр.), оказывает влияние на значения макроэкономических </w:t>
      </w:r>
      <w:proofErr w:type="gramStart"/>
      <w:r w:rsidRPr="000937E7">
        <w:rPr>
          <w:rFonts w:ascii="Times New Roman" w:hAnsi="Times New Roman" w:cs="Times New Roman"/>
          <w:sz w:val="24"/>
        </w:rPr>
        <w:t>индикаторов</w:t>
      </w:r>
      <w:proofErr w:type="gramEnd"/>
      <w:r w:rsidRPr="000937E7">
        <w:rPr>
          <w:rFonts w:ascii="Times New Roman" w:hAnsi="Times New Roman" w:cs="Times New Roman"/>
          <w:sz w:val="24"/>
        </w:rPr>
        <w:t xml:space="preserve"> как в масштабах страны, так и на уровне </w:t>
      </w:r>
      <w:r w:rsidR="00C4466D" w:rsidRPr="000937E7">
        <w:rPr>
          <w:rFonts w:ascii="Times New Roman" w:hAnsi="Times New Roman" w:cs="Times New Roman"/>
          <w:sz w:val="24"/>
        </w:rPr>
        <w:t xml:space="preserve">отдельных регионов и </w:t>
      </w:r>
      <w:r w:rsidRPr="000937E7">
        <w:rPr>
          <w:rFonts w:ascii="Times New Roman" w:hAnsi="Times New Roman" w:cs="Times New Roman"/>
          <w:sz w:val="24"/>
        </w:rPr>
        <w:t xml:space="preserve">отраслей экономики. </w:t>
      </w:r>
    </w:p>
    <w:p w:rsidR="00C4466D" w:rsidRPr="000937E7" w:rsidRDefault="005975A3" w:rsidP="00451E4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937E7">
        <w:rPr>
          <w:rFonts w:ascii="Times New Roman" w:hAnsi="Times New Roman" w:cs="Times New Roman"/>
          <w:sz w:val="24"/>
        </w:rPr>
        <w:t xml:space="preserve">2. Научный интерес к </w:t>
      </w:r>
      <w:r w:rsidR="005F58FD">
        <w:rPr>
          <w:rFonts w:ascii="Times New Roman" w:hAnsi="Times New Roman" w:cs="Times New Roman"/>
          <w:sz w:val="24"/>
        </w:rPr>
        <w:t xml:space="preserve">исследованию </w:t>
      </w:r>
      <w:r w:rsidRPr="000937E7">
        <w:rPr>
          <w:rFonts w:ascii="Times New Roman" w:hAnsi="Times New Roman" w:cs="Times New Roman"/>
          <w:sz w:val="24"/>
        </w:rPr>
        <w:t xml:space="preserve">динамики фирм был </w:t>
      </w:r>
      <w:r w:rsidR="005F58FD">
        <w:rPr>
          <w:rFonts w:ascii="Times New Roman" w:hAnsi="Times New Roman" w:cs="Times New Roman"/>
          <w:sz w:val="24"/>
        </w:rPr>
        <w:t>традиционно</w:t>
      </w:r>
      <w:r w:rsidRPr="000937E7">
        <w:rPr>
          <w:rFonts w:ascii="Times New Roman" w:hAnsi="Times New Roman" w:cs="Times New Roman"/>
          <w:sz w:val="24"/>
        </w:rPr>
        <w:t xml:space="preserve"> обусловлен проблемами обеспечения занятости</w:t>
      </w:r>
      <w:r w:rsidR="005F58FD">
        <w:rPr>
          <w:rFonts w:ascii="Times New Roman" w:hAnsi="Times New Roman" w:cs="Times New Roman"/>
          <w:sz w:val="24"/>
        </w:rPr>
        <w:t xml:space="preserve"> и снижения</w:t>
      </w:r>
      <w:r w:rsidRPr="000937E7">
        <w:rPr>
          <w:rFonts w:ascii="Times New Roman" w:hAnsi="Times New Roman" w:cs="Times New Roman"/>
          <w:sz w:val="24"/>
        </w:rPr>
        <w:t xml:space="preserve"> безработицы, </w:t>
      </w:r>
      <w:r w:rsidR="005F58FD">
        <w:rPr>
          <w:rFonts w:ascii="Times New Roman" w:hAnsi="Times New Roman" w:cs="Times New Roman"/>
          <w:sz w:val="24"/>
        </w:rPr>
        <w:t>повышения эффективности производства, развития конкуренции.</w:t>
      </w:r>
      <w:r w:rsidR="00CE07D6">
        <w:rPr>
          <w:rFonts w:ascii="Times New Roman" w:hAnsi="Times New Roman" w:cs="Times New Roman"/>
          <w:sz w:val="24"/>
        </w:rPr>
        <w:t xml:space="preserve"> </w:t>
      </w:r>
      <w:r w:rsidRPr="000937E7">
        <w:rPr>
          <w:rFonts w:ascii="Times New Roman" w:hAnsi="Times New Roman" w:cs="Times New Roman"/>
          <w:sz w:val="24"/>
        </w:rPr>
        <w:t xml:space="preserve">Сегодня такой интерес </w:t>
      </w:r>
      <w:r w:rsidR="005F58FD">
        <w:rPr>
          <w:rFonts w:ascii="Times New Roman" w:hAnsi="Times New Roman" w:cs="Times New Roman"/>
          <w:sz w:val="24"/>
        </w:rPr>
        <w:t>дополняется</w:t>
      </w:r>
      <w:r w:rsidRPr="000937E7">
        <w:rPr>
          <w:rFonts w:ascii="Times New Roman" w:hAnsi="Times New Roman" w:cs="Times New Roman"/>
          <w:sz w:val="24"/>
        </w:rPr>
        <w:t xml:space="preserve"> происходящими</w:t>
      </w:r>
      <w:r w:rsidR="00E50DD3" w:rsidRPr="000937E7">
        <w:rPr>
          <w:rFonts w:ascii="Times New Roman" w:hAnsi="Times New Roman" w:cs="Times New Roman"/>
          <w:sz w:val="24"/>
        </w:rPr>
        <w:t xml:space="preserve"> активными</w:t>
      </w:r>
      <w:r w:rsidRPr="000937E7">
        <w:rPr>
          <w:rFonts w:ascii="Times New Roman" w:hAnsi="Times New Roman" w:cs="Times New Roman"/>
          <w:sz w:val="24"/>
        </w:rPr>
        <w:t xml:space="preserve"> технологическими изменениями. </w:t>
      </w:r>
      <w:r w:rsidR="009720FE">
        <w:rPr>
          <w:rFonts w:ascii="Times New Roman" w:hAnsi="Times New Roman" w:cs="Times New Roman"/>
          <w:sz w:val="24"/>
        </w:rPr>
        <w:t>Значительный</w:t>
      </w:r>
      <w:r w:rsidRPr="000937E7">
        <w:rPr>
          <w:rFonts w:ascii="Times New Roman" w:hAnsi="Times New Roman" w:cs="Times New Roman"/>
          <w:sz w:val="24"/>
        </w:rPr>
        <w:t xml:space="preserve"> импульс </w:t>
      </w:r>
      <w:r w:rsidR="00C4466D" w:rsidRPr="000937E7">
        <w:rPr>
          <w:rFonts w:ascii="Times New Roman" w:hAnsi="Times New Roman" w:cs="Times New Roman"/>
          <w:sz w:val="24"/>
        </w:rPr>
        <w:t xml:space="preserve">исследования динамики фирм получили </w:t>
      </w:r>
      <w:r w:rsidRPr="000937E7">
        <w:rPr>
          <w:rFonts w:ascii="Times New Roman" w:hAnsi="Times New Roman" w:cs="Times New Roman"/>
          <w:sz w:val="24"/>
        </w:rPr>
        <w:t>в периоды</w:t>
      </w:r>
      <w:r w:rsidR="00C4466D" w:rsidRPr="000937E7">
        <w:rPr>
          <w:rFonts w:ascii="Times New Roman" w:hAnsi="Times New Roman" w:cs="Times New Roman"/>
          <w:sz w:val="24"/>
        </w:rPr>
        <w:t xml:space="preserve"> мировых</w:t>
      </w:r>
      <w:r w:rsidRPr="000937E7">
        <w:rPr>
          <w:rFonts w:ascii="Times New Roman" w:hAnsi="Times New Roman" w:cs="Times New Roman"/>
          <w:sz w:val="24"/>
        </w:rPr>
        <w:t xml:space="preserve"> экономических кризисов. </w:t>
      </w:r>
    </w:p>
    <w:p w:rsidR="005F58FD" w:rsidRDefault="00C4466D" w:rsidP="00451E4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937E7">
        <w:rPr>
          <w:rFonts w:ascii="Times New Roman" w:hAnsi="Times New Roman" w:cs="Times New Roman"/>
          <w:sz w:val="24"/>
        </w:rPr>
        <w:t xml:space="preserve">3. </w:t>
      </w:r>
      <w:r w:rsidR="005975A3" w:rsidRPr="000937E7">
        <w:rPr>
          <w:rFonts w:ascii="Times New Roman" w:hAnsi="Times New Roman" w:cs="Times New Roman"/>
          <w:sz w:val="24"/>
        </w:rPr>
        <w:t xml:space="preserve">Приоритетное внимание исследователей </w:t>
      </w:r>
      <w:r w:rsidR="005F58FD">
        <w:rPr>
          <w:rFonts w:ascii="Times New Roman" w:hAnsi="Times New Roman" w:cs="Times New Roman"/>
          <w:sz w:val="24"/>
        </w:rPr>
        <w:t>уделяется</w:t>
      </w:r>
      <w:r w:rsidR="00DC1B14">
        <w:rPr>
          <w:rFonts w:ascii="Times New Roman" w:hAnsi="Times New Roman" w:cs="Times New Roman"/>
          <w:sz w:val="24"/>
        </w:rPr>
        <w:t xml:space="preserve"> </w:t>
      </w:r>
      <w:r w:rsidR="005975A3" w:rsidRPr="000937E7">
        <w:rPr>
          <w:rFonts w:ascii="Times New Roman" w:hAnsi="Times New Roman" w:cs="Times New Roman"/>
          <w:sz w:val="24"/>
        </w:rPr>
        <w:t>процессам входа новых компаний</w:t>
      </w:r>
      <w:r w:rsidR="00D857C7">
        <w:rPr>
          <w:rFonts w:ascii="Times New Roman" w:hAnsi="Times New Roman" w:cs="Times New Roman"/>
          <w:sz w:val="24"/>
        </w:rPr>
        <w:t>, с которыми</w:t>
      </w:r>
      <w:r w:rsidR="005975A3" w:rsidRPr="000937E7">
        <w:rPr>
          <w:rFonts w:ascii="Times New Roman" w:hAnsi="Times New Roman" w:cs="Times New Roman"/>
          <w:sz w:val="24"/>
        </w:rPr>
        <w:t xml:space="preserve"> традиционно связыва</w:t>
      </w:r>
      <w:r w:rsidR="00D857C7">
        <w:rPr>
          <w:rFonts w:ascii="Times New Roman" w:hAnsi="Times New Roman" w:cs="Times New Roman"/>
          <w:sz w:val="24"/>
        </w:rPr>
        <w:t>лись</w:t>
      </w:r>
      <w:r w:rsidR="005975A3" w:rsidRPr="000937E7">
        <w:rPr>
          <w:rFonts w:ascii="Times New Roman" w:hAnsi="Times New Roman" w:cs="Times New Roman"/>
          <w:sz w:val="24"/>
        </w:rPr>
        <w:t xml:space="preserve"> внедрение технологических инноваций, обеспечивающих рост эффективности и производительности, привлечение инвестиций и создание рабочих мест, развитие конкуренции, расширение товарного предложения, увеличение разнообразия форматов предпринимательской деятельности и торговли. </w:t>
      </w:r>
      <w:r w:rsidRPr="000937E7">
        <w:rPr>
          <w:rFonts w:ascii="Times New Roman" w:hAnsi="Times New Roman" w:cs="Times New Roman"/>
          <w:sz w:val="24"/>
        </w:rPr>
        <w:t>Согласно</w:t>
      </w:r>
      <w:r w:rsidR="005975A3" w:rsidRPr="000937E7">
        <w:rPr>
          <w:rFonts w:ascii="Times New Roman" w:hAnsi="Times New Roman" w:cs="Times New Roman"/>
          <w:sz w:val="24"/>
        </w:rPr>
        <w:t xml:space="preserve"> </w:t>
      </w:r>
      <w:r w:rsidRPr="000937E7">
        <w:rPr>
          <w:rFonts w:ascii="Times New Roman" w:hAnsi="Times New Roman" w:cs="Times New Roman"/>
          <w:sz w:val="24"/>
        </w:rPr>
        <w:t xml:space="preserve">эмпирическим </w:t>
      </w:r>
      <w:r w:rsidR="005975A3" w:rsidRPr="000937E7">
        <w:rPr>
          <w:rFonts w:ascii="Times New Roman" w:hAnsi="Times New Roman" w:cs="Times New Roman"/>
          <w:sz w:val="24"/>
        </w:rPr>
        <w:t>данным ОЭСР</w:t>
      </w:r>
      <w:r w:rsidR="005F58FD">
        <w:rPr>
          <w:rFonts w:ascii="Times New Roman" w:hAnsi="Times New Roman" w:cs="Times New Roman"/>
          <w:sz w:val="24"/>
        </w:rPr>
        <w:t>,</w:t>
      </w:r>
      <w:r w:rsidR="005975A3" w:rsidRPr="000937E7">
        <w:rPr>
          <w:rFonts w:ascii="Times New Roman" w:hAnsi="Times New Roman" w:cs="Times New Roman"/>
          <w:sz w:val="24"/>
        </w:rPr>
        <w:t xml:space="preserve"> на инновации молодых компаний приходится половина совокупного роста производительности в США</w:t>
      </w:r>
      <w:r w:rsidR="005975A3" w:rsidRPr="000937E7">
        <w:rPr>
          <w:rStyle w:val="a3"/>
          <w:rFonts w:ascii="Times New Roman" w:hAnsi="Times New Roman" w:cs="Times New Roman"/>
          <w:sz w:val="24"/>
        </w:rPr>
        <w:footnoteReference w:id="1"/>
      </w:r>
      <w:r w:rsidR="005975A3" w:rsidRPr="000937E7">
        <w:rPr>
          <w:rFonts w:ascii="Times New Roman" w:hAnsi="Times New Roman" w:cs="Times New Roman"/>
          <w:sz w:val="24"/>
        </w:rPr>
        <w:t>,</w:t>
      </w:r>
      <w:r w:rsidR="005975A3" w:rsidRPr="000937E7">
        <w:rPr>
          <w:rFonts w:ascii="Times New Roman" w:hAnsi="Times New Roman" w:cs="Times New Roman"/>
          <w:b/>
          <w:sz w:val="24"/>
          <w:shd w:val="clear" w:color="auto" w:fill="FFFFFF"/>
        </w:rPr>
        <w:t xml:space="preserve"> </w:t>
      </w:r>
      <w:r w:rsidR="005975A3" w:rsidRPr="000937E7">
        <w:rPr>
          <w:rFonts w:ascii="Times New Roman" w:hAnsi="Times New Roman" w:cs="Times New Roman"/>
          <w:sz w:val="24"/>
          <w:shd w:val="clear" w:color="auto" w:fill="FFFFFF"/>
        </w:rPr>
        <w:t xml:space="preserve">ими </w:t>
      </w:r>
      <w:r w:rsidR="005975A3" w:rsidRPr="000937E7">
        <w:rPr>
          <w:rFonts w:ascii="Times New Roman" w:hAnsi="Times New Roman" w:cs="Times New Roman"/>
          <w:sz w:val="24"/>
        </w:rPr>
        <w:t xml:space="preserve">формируется до половины новых рабочих мест, в них в среднем </w:t>
      </w:r>
      <w:r w:rsidR="00E50DD3" w:rsidRPr="000937E7">
        <w:rPr>
          <w:rFonts w:ascii="Times New Roman" w:hAnsi="Times New Roman" w:cs="Times New Roman"/>
          <w:sz w:val="24"/>
        </w:rPr>
        <w:t>сконцентрировано</w:t>
      </w:r>
      <w:r w:rsidR="005975A3" w:rsidRPr="000937E7">
        <w:rPr>
          <w:rFonts w:ascii="Times New Roman" w:hAnsi="Times New Roman" w:cs="Times New Roman"/>
          <w:sz w:val="24"/>
        </w:rPr>
        <w:t xml:space="preserve"> </w:t>
      </w:r>
      <w:r w:rsidR="005F58FD">
        <w:rPr>
          <w:rFonts w:ascii="Times New Roman" w:hAnsi="Times New Roman" w:cs="Times New Roman"/>
          <w:sz w:val="24"/>
        </w:rPr>
        <w:t>до</w:t>
      </w:r>
      <w:r w:rsidR="005975A3" w:rsidRPr="000937E7">
        <w:rPr>
          <w:rFonts w:ascii="Times New Roman" w:hAnsi="Times New Roman" w:cs="Times New Roman"/>
          <w:sz w:val="24"/>
        </w:rPr>
        <w:t xml:space="preserve"> 20% общей численности трудовых ресурсов.</w:t>
      </w:r>
      <w:r w:rsidR="00CE07D6">
        <w:rPr>
          <w:rFonts w:ascii="Times New Roman" w:hAnsi="Times New Roman" w:cs="Times New Roman"/>
          <w:sz w:val="24"/>
        </w:rPr>
        <w:t xml:space="preserve"> </w:t>
      </w:r>
    </w:p>
    <w:p w:rsidR="000937E7" w:rsidRPr="000937E7" w:rsidRDefault="000937E7" w:rsidP="00451E4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937E7">
        <w:rPr>
          <w:rFonts w:ascii="Times New Roman" w:hAnsi="Times New Roman" w:cs="Times New Roman"/>
          <w:sz w:val="24"/>
        </w:rPr>
        <w:t xml:space="preserve">Результаты </w:t>
      </w:r>
      <w:r w:rsidR="00451E47">
        <w:rPr>
          <w:rFonts w:ascii="Times New Roman" w:hAnsi="Times New Roman" w:cs="Times New Roman"/>
          <w:sz w:val="24"/>
        </w:rPr>
        <w:t xml:space="preserve">проведенного </w:t>
      </w:r>
      <w:r w:rsidRPr="000937E7">
        <w:rPr>
          <w:rFonts w:ascii="Times New Roman" w:hAnsi="Times New Roman" w:cs="Times New Roman"/>
          <w:sz w:val="24"/>
        </w:rPr>
        <w:t xml:space="preserve">моделирования </w:t>
      </w:r>
      <w:r>
        <w:rPr>
          <w:rFonts w:ascii="Times New Roman" w:hAnsi="Times New Roman" w:cs="Times New Roman"/>
          <w:sz w:val="24"/>
        </w:rPr>
        <w:t>на примере Российской Федерации за</w:t>
      </w:r>
      <w:r w:rsidRPr="000937E7">
        <w:rPr>
          <w:rFonts w:ascii="Times New Roman" w:hAnsi="Times New Roman" w:cs="Times New Roman"/>
          <w:sz w:val="24"/>
        </w:rPr>
        <w:t xml:space="preserve"> период 2005–2020 гг</w:t>
      </w:r>
      <w:r>
        <w:rPr>
          <w:rFonts w:ascii="Times New Roman" w:hAnsi="Times New Roman" w:cs="Times New Roman"/>
          <w:sz w:val="24"/>
        </w:rPr>
        <w:t>. подтверждают данный тезис – в указанный период д</w:t>
      </w:r>
      <w:r w:rsidRPr="000937E7">
        <w:rPr>
          <w:rFonts w:ascii="Times New Roman" w:hAnsi="Times New Roman" w:cs="Times New Roman"/>
          <w:sz w:val="24"/>
        </w:rPr>
        <w:t xml:space="preserve">инамика компаний являлась фактором регионального экономического роста. Наряду с темпами прироста базовых факторов, объясняющими динамику валового регионального продукта </w:t>
      </w:r>
      <w:r w:rsidRPr="000937E7">
        <w:rPr>
          <w:rFonts w:ascii="Times New Roman" w:hAnsi="Times New Roman" w:cs="Times New Roman"/>
          <w:b/>
          <w:i/>
          <w:sz w:val="24"/>
        </w:rPr>
        <w:t>(</w:t>
      </w:r>
      <w:r w:rsidRPr="000937E7">
        <w:rPr>
          <w:rFonts w:ascii="Times New Roman" w:hAnsi="Times New Roman" w:cs="Times New Roman"/>
          <w:i/>
          <w:sz w:val="24"/>
        </w:rPr>
        <w:t>G</w:t>
      </w:r>
      <w:r w:rsidRPr="000937E7">
        <w:rPr>
          <w:rFonts w:ascii="Times New Roman" w:hAnsi="Times New Roman" w:cs="Times New Roman"/>
          <w:i/>
          <w:sz w:val="24"/>
          <w:lang w:val="en-US"/>
        </w:rPr>
        <w:t>R</w:t>
      </w:r>
      <w:r w:rsidRPr="000937E7">
        <w:rPr>
          <w:rFonts w:ascii="Times New Roman" w:hAnsi="Times New Roman" w:cs="Times New Roman"/>
          <w:i/>
          <w:sz w:val="24"/>
        </w:rPr>
        <w:t>P</w:t>
      </w:r>
      <w:r w:rsidRPr="000937E7">
        <w:rPr>
          <w:rFonts w:ascii="Times New Roman" w:hAnsi="Times New Roman" w:cs="Times New Roman"/>
          <w:sz w:val="24"/>
        </w:rPr>
        <w:t xml:space="preserve">), – </w:t>
      </w:r>
      <w:r w:rsidR="00F55288">
        <w:rPr>
          <w:rFonts w:ascii="Times New Roman" w:hAnsi="Times New Roman" w:cs="Times New Roman"/>
          <w:sz w:val="24"/>
        </w:rPr>
        <w:t xml:space="preserve">уровнем занятости </w:t>
      </w:r>
      <w:r w:rsidR="00F55288" w:rsidRPr="000937E7">
        <w:rPr>
          <w:rFonts w:ascii="Times New Roman" w:hAnsi="Times New Roman" w:cs="Times New Roman"/>
          <w:sz w:val="24"/>
        </w:rPr>
        <w:t>(</w:t>
      </w:r>
      <w:r w:rsidR="00F55288">
        <w:rPr>
          <w:rFonts w:ascii="Times New Roman" w:hAnsi="Times New Roman" w:cs="Times New Roman"/>
          <w:i/>
          <w:sz w:val="24"/>
          <w:lang w:val="en-US"/>
        </w:rPr>
        <w:t>Work</w:t>
      </w:r>
      <w:r w:rsidR="00F55288" w:rsidRPr="000937E7">
        <w:rPr>
          <w:rFonts w:ascii="Times New Roman" w:hAnsi="Times New Roman" w:cs="Times New Roman"/>
          <w:sz w:val="24"/>
        </w:rPr>
        <w:t>)</w:t>
      </w:r>
      <w:r w:rsidR="00F55288">
        <w:rPr>
          <w:rFonts w:ascii="Times New Roman" w:hAnsi="Times New Roman" w:cs="Times New Roman"/>
          <w:sz w:val="24"/>
        </w:rPr>
        <w:t xml:space="preserve">, </w:t>
      </w:r>
      <w:r w:rsidRPr="000937E7">
        <w:rPr>
          <w:rFonts w:ascii="Times New Roman" w:hAnsi="Times New Roman" w:cs="Times New Roman"/>
          <w:sz w:val="24"/>
        </w:rPr>
        <w:t>инвестициями в основной капитал (</w:t>
      </w:r>
      <w:proofErr w:type="spellStart"/>
      <w:r w:rsidRPr="000937E7">
        <w:rPr>
          <w:rFonts w:ascii="Times New Roman" w:hAnsi="Times New Roman" w:cs="Times New Roman"/>
          <w:i/>
          <w:sz w:val="24"/>
        </w:rPr>
        <w:t>Inv</w:t>
      </w:r>
      <w:r w:rsidRPr="000937E7">
        <w:rPr>
          <w:rFonts w:ascii="Times New Roman" w:hAnsi="Times New Roman" w:cs="Times New Roman"/>
          <w:i/>
          <w:sz w:val="24"/>
          <w:lang w:val="en-US"/>
        </w:rPr>
        <w:t>est</w:t>
      </w:r>
      <w:proofErr w:type="spellEnd"/>
      <w:r w:rsidRPr="000937E7">
        <w:rPr>
          <w:rFonts w:ascii="Times New Roman" w:hAnsi="Times New Roman" w:cs="Times New Roman"/>
          <w:sz w:val="24"/>
        </w:rPr>
        <w:t xml:space="preserve">), реальными денежными доходами населения </w:t>
      </w:r>
      <w:r w:rsidRPr="000937E7">
        <w:rPr>
          <w:rFonts w:ascii="Times New Roman" w:hAnsi="Times New Roman" w:cs="Times New Roman"/>
          <w:i/>
          <w:sz w:val="24"/>
        </w:rPr>
        <w:t>(</w:t>
      </w:r>
      <w:proofErr w:type="spellStart"/>
      <w:r w:rsidRPr="000937E7">
        <w:rPr>
          <w:rFonts w:ascii="Times New Roman" w:hAnsi="Times New Roman" w:cs="Times New Roman"/>
          <w:i/>
          <w:sz w:val="24"/>
        </w:rPr>
        <w:t>Incom</w:t>
      </w:r>
      <w:proofErr w:type="spellEnd"/>
      <w:r w:rsidRPr="000937E7">
        <w:rPr>
          <w:rFonts w:ascii="Times New Roman" w:hAnsi="Times New Roman" w:cs="Times New Roman"/>
          <w:i/>
          <w:sz w:val="24"/>
        </w:rPr>
        <w:t>)</w:t>
      </w:r>
      <w:r w:rsidRPr="000937E7">
        <w:rPr>
          <w:rFonts w:ascii="Times New Roman" w:hAnsi="Times New Roman" w:cs="Times New Roman"/>
          <w:sz w:val="24"/>
        </w:rPr>
        <w:t xml:space="preserve"> и потребительскими расходами домохозяйств </w:t>
      </w:r>
      <w:r w:rsidRPr="000937E7">
        <w:rPr>
          <w:rFonts w:ascii="Times New Roman" w:hAnsi="Times New Roman" w:cs="Times New Roman"/>
          <w:i/>
          <w:sz w:val="24"/>
        </w:rPr>
        <w:t>(Р</w:t>
      </w:r>
      <w:proofErr w:type="spellStart"/>
      <w:r w:rsidRPr="000937E7">
        <w:rPr>
          <w:rFonts w:ascii="Times New Roman" w:hAnsi="Times New Roman" w:cs="Times New Roman"/>
          <w:i/>
          <w:sz w:val="24"/>
          <w:vertAlign w:val="subscript"/>
          <w:lang w:val="en-US"/>
        </w:rPr>
        <w:t>i</w:t>
      </w:r>
      <w:proofErr w:type="spellEnd"/>
      <w:r w:rsidRPr="000937E7">
        <w:rPr>
          <w:rFonts w:ascii="Times New Roman" w:hAnsi="Times New Roman" w:cs="Times New Roman"/>
          <w:i/>
          <w:sz w:val="24"/>
          <w:vertAlign w:val="subscript"/>
        </w:rPr>
        <w:t>,</w:t>
      </w:r>
      <w:r w:rsidRPr="000937E7">
        <w:rPr>
          <w:rFonts w:ascii="Times New Roman" w:hAnsi="Times New Roman" w:cs="Times New Roman"/>
          <w:i/>
          <w:sz w:val="24"/>
          <w:vertAlign w:val="subscript"/>
          <w:lang w:val="en-US"/>
        </w:rPr>
        <w:t>t</w:t>
      </w:r>
      <w:r w:rsidRPr="000937E7">
        <w:rPr>
          <w:rFonts w:ascii="Times New Roman" w:hAnsi="Times New Roman" w:cs="Times New Roman"/>
          <w:i/>
          <w:sz w:val="24"/>
        </w:rPr>
        <w:t xml:space="preserve">), </w:t>
      </w:r>
      <w:r w:rsidRPr="000937E7">
        <w:rPr>
          <w:rFonts w:ascii="Times New Roman" w:hAnsi="Times New Roman" w:cs="Times New Roman"/>
          <w:sz w:val="24"/>
        </w:rPr>
        <w:t>было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0937E7">
        <w:rPr>
          <w:rFonts w:ascii="Times New Roman" w:hAnsi="Times New Roman" w:cs="Times New Roman"/>
          <w:sz w:val="24"/>
        </w:rPr>
        <w:t>заметно и влияние</w:t>
      </w:r>
      <w:r w:rsidRPr="000937E7">
        <w:rPr>
          <w:rFonts w:ascii="Times New Roman" w:hAnsi="Times New Roman" w:cs="Times New Roman"/>
          <w:i/>
          <w:sz w:val="24"/>
        </w:rPr>
        <w:t xml:space="preserve"> </w:t>
      </w:r>
      <w:r w:rsidRPr="000937E7">
        <w:rPr>
          <w:rFonts w:ascii="Times New Roman" w:hAnsi="Times New Roman" w:cs="Times New Roman"/>
          <w:sz w:val="24"/>
        </w:rPr>
        <w:t xml:space="preserve">темпов прироста </w:t>
      </w:r>
      <w:r w:rsidR="00DC1B14">
        <w:rPr>
          <w:rFonts w:ascii="Times New Roman" w:hAnsi="Times New Roman" w:cs="Times New Roman"/>
          <w:sz w:val="24"/>
        </w:rPr>
        <w:t>нормированных показателей</w:t>
      </w:r>
      <w:r w:rsidRPr="000937E7">
        <w:rPr>
          <w:rFonts w:ascii="Times New Roman" w:hAnsi="Times New Roman" w:cs="Times New Roman"/>
          <w:sz w:val="24"/>
        </w:rPr>
        <w:t xml:space="preserve"> входа (</w:t>
      </w:r>
      <w:proofErr w:type="spellStart"/>
      <w:proofErr w:type="gramStart"/>
      <w:r w:rsidRPr="000937E7">
        <w:rPr>
          <w:rFonts w:ascii="Times New Roman" w:hAnsi="Times New Roman" w:cs="Times New Roman"/>
          <w:i/>
          <w:sz w:val="24"/>
        </w:rPr>
        <w:t>Е</w:t>
      </w:r>
      <w:proofErr w:type="gramEnd"/>
      <w:r w:rsidRPr="000937E7">
        <w:rPr>
          <w:rFonts w:ascii="Times New Roman" w:hAnsi="Times New Roman" w:cs="Times New Roman"/>
          <w:i/>
          <w:sz w:val="24"/>
        </w:rPr>
        <w:t>nter</w:t>
      </w:r>
      <w:r w:rsidRPr="000937E7">
        <w:rPr>
          <w:rFonts w:ascii="Times New Roman" w:hAnsi="Times New Roman" w:cs="Times New Roman"/>
          <w:i/>
          <w:sz w:val="24"/>
          <w:vertAlign w:val="subscript"/>
          <w:lang w:val="en-US"/>
        </w:rPr>
        <w:t>i</w:t>
      </w:r>
      <w:proofErr w:type="spellEnd"/>
      <w:r w:rsidRPr="000937E7">
        <w:rPr>
          <w:rFonts w:ascii="Times New Roman" w:hAnsi="Times New Roman" w:cs="Times New Roman"/>
          <w:sz w:val="24"/>
        </w:rPr>
        <w:t>) и выхода (</w:t>
      </w:r>
      <w:r w:rsidRPr="000937E7">
        <w:rPr>
          <w:rFonts w:ascii="Times New Roman" w:hAnsi="Times New Roman" w:cs="Times New Roman"/>
          <w:i/>
          <w:sz w:val="24"/>
        </w:rPr>
        <w:t>Е</w:t>
      </w:r>
      <w:proofErr w:type="spellStart"/>
      <w:r w:rsidRPr="000937E7">
        <w:rPr>
          <w:rFonts w:ascii="Times New Roman" w:hAnsi="Times New Roman" w:cs="Times New Roman"/>
          <w:i/>
          <w:sz w:val="24"/>
          <w:lang w:val="en-US"/>
        </w:rPr>
        <w:t>xit</w:t>
      </w:r>
      <w:proofErr w:type="spellEnd"/>
      <w:r w:rsidRPr="000937E7">
        <w:rPr>
          <w:rFonts w:ascii="Times New Roman" w:hAnsi="Times New Roman" w:cs="Times New Roman"/>
          <w:sz w:val="24"/>
        </w:rPr>
        <w:t>).</w:t>
      </w:r>
    </w:p>
    <w:p w:rsidR="000937E7" w:rsidRPr="000937E7" w:rsidRDefault="000937E7" w:rsidP="00451E47">
      <w:pPr>
        <w:spacing w:after="0" w:line="288" w:lineRule="auto"/>
        <w:jc w:val="center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lang w:val="en-US"/>
          </w:rPr>
          <m:t>GRP</m:t>
        </m:r>
        <m:r>
          <w:rPr>
            <w:rFonts w:ascii="Cambria Math" w:hAnsi="Times New Roman" w:cs="Times New Roman"/>
          </w:rPr>
          <m:t>=</m:t>
        </m:r>
        <m:r>
          <m:rPr>
            <m:sty m:val="p"/>
          </m:rPr>
          <w:rPr>
            <w:rFonts w:ascii="Cambria Math" w:hAnsi="Times New Roman" w:cs="Times New Roman"/>
          </w:rPr>
          <m:t>1,422+0,187</m:t>
        </m:r>
        <m:r>
          <w:rPr>
            <w:rFonts w:ascii="Cambria Math" w:hAnsi="Cambria Math" w:cs="Times New Roman"/>
          </w:rPr>
          <m:t>Work</m:t>
        </m:r>
        <m:r>
          <m:rPr>
            <m:sty m:val="p"/>
          </m:rPr>
          <w:rPr>
            <w:rFonts w:ascii="Cambria Math" w:hAnsi="Times New Roman" w:cs="Times New Roman"/>
          </w:rPr>
          <m:t>+0,080</m:t>
        </m:r>
        <m:r>
          <w:rPr>
            <w:rFonts w:ascii="Cambria Math" w:hAnsi="Cambria Math" w:cs="Times New Roman"/>
          </w:rPr>
          <m:t>Invest</m:t>
        </m:r>
        <m:r>
          <m:rPr>
            <m:sty m:val="p"/>
          </m:rPr>
          <w:rPr>
            <w:rFonts w:ascii="Cambria Math" w:hAnsi="Times New Roman" w:cs="Times New Roman"/>
          </w:rPr>
          <m:t>+0,160</m:t>
        </m:r>
        <m:r>
          <w:rPr>
            <w:rFonts w:ascii="Cambria Math" w:hAnsi="Cambria Math" w:cs="Times New Roman"/>
            <w:lang w:val="en-US"/>
          </w:rPr>
          <m:t>Incom</m:t>
        </m:r>
        <m:r>
          <m:rPr>
            <m:sty m:val="p"/>
          </m:rPr>
          <w:rPr>
            <w:rFonts w:ascii="Cambria Math" w:hAnsi="Times New Roman" w:cs="Times New Roman"/>
          </w:rPr>
          <m:t>+0,050</m:t>
        </m:r>
        <m:r>
          <w:rPr>
            <w:rFonts w:ascii="Cambria Math" w:hAnsi="Cambria Math" w:cs="Times New Roman"/>
          </w:rPr>
          <m:t>P</m:t>
        </m:r>
        <m:r>
          <m:rPr>
            <m:sty m:val="p"/>
          </m:rPr>
          <w:rPr>
            <w:rFonts w:ascii="Cambria Math" w:hAnsi="Times New Roman" w:cs="Times New Roman"/>
          </w:rPr>
          <m:t>+0,032</m:t>
        </m:r>
        <m:r>
          <w:rPr>
            <w:rFonts w:ascii="Cambria Math" w:hAnsi="Cambria Math" w:cs="Times New Roman"/>
          </w:rPr>
          <m:t>Enter</m:t>
        </m:r>
        <m:r>
          <m:rPr>
            <m:sty m:val="p"/>
          </m:rPr>
          <w:rPr>
            <w:rFonts w:ascii="Cambria Math" w:hAnsi="Times New Roman" w:cs="Times New Roman"/>
          </w:rPr>
          <m:t>+0,002</m:t>
        </m:r>
        <m:r>
          <w:rPr>
            <w:rFonts w:ascii="Cambria Math" w:hAnsi="Times New Roman" w:cs="Times New Roman"/>
            <w:lang w:val="en-US"/>
          </w:rPr>
          <m:t>Exit</m:t>
        </m:r>
      </m:oMath>
      <w:r w:rsidRPr="000937E7">
        <w:rPr>
          <w:rFonts w:ascii="Times New Roman" w:eastAsiaTheme="minorEastAsia" w:hAnsi="Times New Roman" w:cs="Times New Roman"/>
        </w:rPr>
        <w:t xml:space="preserve"> </w:t>
      </w:r>
    </w:p>
    <w:p w:rsidR="005F58FD" w:rsidRDefault="000937E7" w:rsidP="00451E4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5975A3" w:rsidRPr="000937E7">
        <w:rPr>
          <w:rFonts w:ascii="Times New Roman" w:hAnsi="Times New Roman" w:cs="Times New Roman"/>
          <w:sz w:val="24"/>
        </w:rPr>
        <w:t xml:space="preserve">. </w:t>
      </w:r>
      <w:r w:rsidR="0075698C" w:rsidRPr="000937E7">
        <w:rPr>
          <w:rFonts w:ascii="Times New Roman" w:hAnsi="Times New Roman" w:cs="Times New Roman"/>
          <w:sz w:val="24"/>
        </w:rPr>
        <w:t xml:space="preserve">Теоретические исследования </w:t>
      </w:r>
      <w:r w:rsidR="005F58FD" w:rsidRPr="000937E7">
        <w:rPr>
          <w:rFonts w:ascii="Times New Roman" w:hAnsi="Times New Roman" w:cs="Times New Roman"/>
          <w:sz w:val="24"/>
        </w:rPr>
        <w:t xml:space="preserve">динамики фирм </w:t>
      </w:r>
      <w:r w:rsidR="0075698C" w:rsidRPr="000937E7">
        <w:rPr>
          <w:rFonts w:ascii="Times New Roman" w:hAnsi="Times New Roman" w:cs="Times New Roman"/>
          <w:sz w:val="24"/>
        </w:rPr>
        <w:t xml:space="preserve">оперируют </w:t>
      </w:r>
      <w:r w:rsidR="005F58FD">
        <w:rPr>
          <w:rFonts w:ascii="Times New Roman" w:hAnsi="Times New Roman" w:cs="Times New Roman"/>
          <w:sz w:val="24"/>
        </w:rPr>
        <w:t xml:space="preserve">блоками </w:t>
      </w:r>
      <w:r w:rsidR="0075698C" w:rsidRPr="000937E7">
        <w:rPr>
          <w:rFonts w:ascii="Times New Roman" w:hAnsi="Times New Roman" w:cs="Times New Roman"/>
          <w:sz w:val="24"/>
        </w:rPr>
        <w:t xml:space="preserve">отраслевых и региональных факторов, отражающими влияние </w:t>
      </w:r>
      <w:r w:rsidR="005F58FD">
        <w:rPr>
          <w:rFonts w:ascii="Times New Roman" w:hAnsi="Times New Roman" w:cs="Times New Roman"/>
          <w:sz w:val="24"/>
        </w:rPr>
        <w:t xml:space="preserve">параметров </w:t>
      </w:r>
      <w:r w:rsidR="0075698C" w:rsidRPr="000937E7">
        <w:rPr>
          <w:rFonts w:ascii="Times New Roman" w:hAnsi="Times New Roman" w:cs="Times New Roman"/>
          <w:sz w:val="24"/>
        </w:rPr>
        <w:t>спроса, предпринимательского климата, ресурсной базы, конкуренции, технологического развития, институциональной среды</w:t>
      </w:r>
      <w:r w:rsidR="00C4466D" w:rsidRPr="000937E7">
        <w:rPr>
          <w:rFonts w:ascii="Times New Roman" w:hAnsi="Times New Roman" w:cs="Times New Roman"/>
          <w:sz w:val="24"/>
        </w:rPr>
        <w:t xml:space="preserve"> и пр</w:t>
      </w:r>
      <w:r w:rsidR="0075698C" w:rsidRPr="000937E7">
        <w:rPr>
          <w:rFonts w:ascii="Times New Roman" w:hAnsi="Times New Roman" w:cs="Times New Roman"/>
          <w:sz w:val="24"/>
        </w:rPr>
        <w:t>. Вместе с тем</w:t>
      </w:r>
      <w:r w:rsidR="00C4466D" w:rsidRPr="000937E7">
        <w:rPr>
          <w:rFonts w:ascii="Times New Roman" w:hAnsi="Times New Roman" w:cs="Times New Roman"/>
          <w:sz w:val="24"/>
        </w:rPr>
        <w:t xml:space="preserve"> </w:t>
      </w:r>
      <w:r w:rsidR="0075698C" w:rsidRPr="000937E7">
        <w:rPr>
          <w:rFonts w:ascii="Times New Roman" w:hAnsi="Times New Roman" w:cs="Times New Roman"/>
          <w:sz w:val="24"/>
        </w:rPr>
        <w:t xml:space="preserve">перечень факторов, составляющих указанные </w:t>
      </w:r>
      <w:r w:rsidR="005F58FD">
        <w:rPr>
          <w:rFonts w:ascii="Times New Roman" w:hAnsi="Times New Roman" w:cs="Times New Roman"/>
          <w:sz w:val="24"/>
        </w:rPr>
        <w:t>блоки</w:t>
      </w:r>
      <w:r w:rsidR="0075698C" w:rsidRPr="000937E7">
        <w:rPr>
          <w:rFonts w:ascii="Times New Roman" w:hAnsi="Times New Roman" w:cs="Times New Roman"/>
          <w:sz w:val="24"/>
        </w:rPr>
        <w:t xml:space="preserve">, </w:t>
      </w:r>
      <w:r w:rsidR="00EE1FF6" w:rsidRPr="000937E7">
        <w:rPr>
          <w:rFonts w:ascii="Times New Roman" w:hAnsi="Times New Roman" w:cs="Times New Roman"/>
          <w:sz w:val="24"/>
        </w:rPr>
        <w:t>весьма</w:t>
      </w:r>
      <w:r w:rsidR="0075698C" w:rsidRPr="000937E7">
        <w:rPr>
          <w:rFonts w:ascii="Times New Roman" w:hAnsi="Times New Roman" w:cs="Times New Roman"/>
          <w:sz w:val="24"/>
        </w:rPr>
        <w:t xml:space="preserve"> обширен. </w:t>
      </w:r>
      <w:r w:rsidR="00EE1FF6" w:rsidRPr="000937E7">
        <w:rPr>
          <w:rFonts w:ascii="Times New Roman" w:hAnsi="Times New Roman" w:cs="Times New Roman"/>
          <w:sz w:val="24"/>
        </w:rPr>
        <w:t>Одновременно ф</w:t>
      </w:r>
      <w:r w:rsidR="0075698C" w:rsidRPr="000937E7">
        <w:rPr>
          <w:rFonts w:ascii="Times New Roman" w:hAnsi="Times New Roman" w:cs="Times New Roman"/>
          <w:sz w:val="24"/>
        </w:rPr>
        <w:t>акторы</w:t>
      </w:r>
      <w:r w:rsidR="00EE1FF6" w:rsidRPr="000937E7">
        <w:rPr>
          <w:rFonts w:ascii="Times New Roman" w:hAnsi="Times New Roman" w:cs="Times New Roman"/>
          <w:sz w:val="24"/>
        </w:rPr>
        <w:t xml:space="preserve"> динамики</w:t>
      </w:r>
      <w:r w:rsidR="0075698C" w:rsidRPr="000937E7">
        <w:rPr>
          <w:rFonts w:ascii="Times New Roman" w:hAnsi="Times New Roman" w:cs="Times New Roman"/>
          <w:sz w:val="24"/>
        </w:rPr>
        <w:t xml:space="preserve"> различа</w:t>
      </w:r>
      <w:r w:rsidR="00CE245B" w:rsidRPr="000937E7">
        <w:rPr>
          <w:rFonts w:ascii="Times New Roman" w:hAnsi="Times New Roman" w:cs="Times New Roman"/>
          <w:sz w:val="24"/>
        </w:rPr>
        <w:t>ются</w:t>
      </w:r>
      <w:r w:rsidR="0075698C" w:rsidRPr="000937E7">
        <w:rPr>
          <w:rFonts w:ascii="Times New Roman" w:hAnsi="Times New Roman" w:cs="Times New Roman"/>
          <w:sz w:val="24"/>
        </w:rPr>
        <w:t xml:space="preserve"> как в отраслевом и межотраслевом аспектах, так и с точки зрения их региональной специфики. </w:t>
      </w:r>
    </w:p>
    <w:p w:rsidR="0075698C" w:rsidRPr="00451E47" w:rsidRDefault="0075698C" w:rsidP="00451E47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937E7">
        <w:rPr>
          <w:rFonts w:ascii="Times New Roman" w:hAnsi="Times New Roman" w:cs="Times New Roman"/>
          <w:sz w:val="24"/>
        </w:rPr>
        <w:t xml:space="preserve">В </w:t>
      </w:r>
      <w:r w:rsidR="005F58FD">
        <w:rPr>
          <w:rFonts w:ascii="Times New Roman" w:hAnsi="Times New Roman" w:cs="Times New Roman"/>
          <w:sz w:val="24"/>
        </w:rPr>
        <w:t xml:space="preserve">эмпирических </w:t>
      </w:r>
      <w:r w:rsidRPr="000937E7">
        <w:rPr>
          <w:rFonts w:ascii="Times New Roman" w:hAnsi="Times New Roman" w:cs="Times New Roman"/>
          <w:sz w:val="24"/>
        </w:rPr>
        <w:t>исследованиях используются различные вариа</w:t>
      </w:r>
      <w:r w:rsidR="00451E47">
        <w:rPr>
          <w:rFonts w:ascii="Times New Roman" w:hAnsi="Times New Roman" w:cs="Times New Roman"/>
          <w:sz w:val="24"/>
        </w:rPr>
        <w:t>нты</w:t>
      </w:r>
      <w:r w:rsidRPr="000937E7">
        <w:rPr>
          <w:rFonts w:ascii="Times New Roman" w:hAnsi="Times New Roman" w:cs="Times New Roman"/>
          <w:sz w:val="24"/>
        </w:rPr>
        <w:t xml:space="preserve"> </w:t>
      </w:r>
      <w:r w:rsidR="00EE1FF6" w:rsidRPr="000937E7">
        <w:rPr>
          <w:rFonts w:ascii="Times New Roman" w:hAnsi="Times New Roman" w:cs="Times New Roman"/>
          <w:sz w:val="24"/>
        </w:rPr>
        <w:t xml:space="preserve">формальных </w:t>
      </w:r>
      <w:r w:rsidRPr="000937E7">
        <w:rPr>
          <w:rFonts w:ascii="Times New Roman" w:hAnsi="Times New Roman" w:cs="Times New Roman"/>
          <w:sz w:val="24"/>
        </w:rPr>
        <w:t xml:space="preserve">индикаторов динамики и </w:t>
      </w:r>
      <w:r w:rsidRPr="000937E7">
        <w:rPr>
          <w:rFonts w:ascii="Times New Roman" w:eastAsia="Times New Roman" w:hAnsi="Times New Roman" w:cs="Times New Roman"/>
          <w:sz w:val="24"/>
        </w:rPr>
        <w:t xml:space="preserve">подходы к </w:t>
      </w:r>
      <w:r w:rsidR="00EE1FF6" w:rsidRPr="000937E7">
        <w:rPr>
          <w:rFonts w:ascii="Times New Roman" w:eastAsia="Times New Roman" w:hAnsi="Times New Roman" w:cs="Times New Roman"/>
          <w:sz w:val="24"/>
        </w:rPr>
        <w:t xml:space="preserve">их </w:t>
      </w:r>
      <w:r w:rsidRPr="000937E7">
        <w:rPr>
          <w:rFonts w:ascii="Times New Roman" w:eastAsia="Times New Roman" w:hAnsi="Times New Roman" w:cs="Times New Roman"/>
          <w:sz w:val="24"/>
        </w:rPr>
        <w:t xml:space="preserve">анализу, что зачастую приводит </w:t>
      </w:r>
      <w:r w:rsidR="00451E47">
        <w:rPr>
          <w:rFonts w:ascii="Times New Roman" w:eastAsia="Times New Roman" w:hAnsi="Times New Roman" w:cs="Times New Roman"/>
          <w:sz w:val="24"/>
        </w:rPr>
        <w:t>как</w:t>
      </w:r>
      <w:r w:rsidR="00EE1FF6" w:rsidRPr="000937E7">
        <w:rPr>
          <w:rFonts w:ascii="Times New Roman" w:eastAsia="Times New Roman" w:hAnsi="Times New Roman" w:cs="Times New Roman"/>
          <w:sz w:val="24"/>
        </w:rPr>
        <w:t xml:space="preserve"> </w:t>
      </w:r>
      <w:r w:rsidRPr="000937E7">
        <w:rPr>
          <w:rFonts w:ascii="Times New Roman" w:eastAsia="Times New Roman" w:hAnsi="Times New Roman" w:cs="Times New Roman"/>
          <w:sz w:val="24"/>
        </w:rPr>
        <w:t>к различиям в</w:t>
      </w:r>
      <w:r w:rsidR="00451E47">
        <w:rPr>
          <w:rFonts w:ascii="Times New Roman" w:eastAsia="Times New Roman" w:hAnsi="Times New Roman" w:cs="Times New Roman"/>
          <w:sz w:val="24"/>
        </w:rPr>
        <w:t xml:space="preserve"> получаемых результатах, так и к </w:t>
      </w:r>
      <w:r w:rsidRPr="000937E7">
        <w:rPr>
          <w:rFonts w:ascii="Times New Roman" w:eastAsia="Times New Roman" w:hAnsi="Times New Roman" w:cs="Times New Roman"/>
          <w:sz w:val="24"/>
        </w:rPr>
        <w:t xml:space="preserve"> </w:t>
      </w:r>
      <w:r w:rsidR="00451E47">
        <w:rPr>
          <w:rFonts w:ascii="Times New Roman" w:eastAsia="Times New Roman" w:hAnsi="Times New Roman" w:cs="Times New Roman"/>
          <w:sz w:val="24"/>
        </w:rPr>
        <w:t>противоречиям</w:t>
      </w:r>
      <w:r w:rsidR="00451E47" w:rsidRPr="000937E7">
        <w:rPr>
          <w:rFonts w:ascii="Times New Roman" w:eastAsia="Times New Roman" w:hAnsi="Times New Roman" w:cs="Times New Roman"/>
          <w:sz w:val="24"/>
        </w:rPr>
        <w:t xml:space="preserve"> </w:t>
      </w:r>
      <w:r w:rsidRPr="000937E7">
        <w:rPr>
          <w:rFonts w:ascii="Times New Roman" w:eastAsia="Times New Roman" w:hAnsi="Times New Roman" w:cs="Times New Roman"/>
          <w:sz w:val="24"/>
        </w:rPr>
        <w:t>оцен</w:t>
      </w:r>
      <w:r w:rsidR="00451E47">
        <w:rPr>
          <w:rFonts w:ascii="Times New Roman" w:eastAsia="Times New Roman" w:hAnsi="Times New Roman" w:cs="Times New Roman"/>
          <w:sz w:val="24"/>
        </w:rPr>
        <w:t xml:space="preserve">ок и выводов. </w:t>
      </w:r>
      <w:r w:rsidR="00451E47">
        <w:rPr>
          <w:rFonts w:ascii="Times New Roman" w:hAnsi="Times New Roman" w:cs="Times New Roman"/>
          <w:sz w:val="24"/>
        </w:rPr>
        <w:t xml:space="preserve">Поэтому </w:t>
      </w:r>
      <w:r w:rsidR="00451E47" w:rsidRPr="000937E7">
        <w:rPr>
          <w:rFonts w:ascii="Times New Roman" w:hAnsi="Times New Roman" w:cs="Times New Roman"/>
          <w:sz w:val="24"/>
        </w:rPr>
        <w:t>выбор адекватных инструментов</w:t>
      </w:r>
      <w:r w:rsidR="00451E47">
        <w:rPr>
          <w:rFonts w:ascii="Times New Roman" w:hAnsi="Times New Roman" w:cs="Times New Roman"/>
          <w:sz w:val="24"/>
        </w:rPr>
        <w:t xml:space="preserve"> </w:t>
      </w:r>
      <w:r w:rsidR="00451E47" w:rsidRPr="000937E7">
        <w:rPr>
          <w:rFonts w:ascii="Times New Roman" w:hAnsi="Times New Roman" w:cs="Times New Roman"/>
          <w:sz w:val="24"/>
        </w:rPr>
        <w:t>для корректной оценки динамики</w:t>
      </w:r>
      <w:r w:rsidR="00451E47">
        <w:rPr>
          <w:rFonts w:ascii="Times New Roman" w:hAnsi="Times New Roman" w:cs="Times New Roman"/>
          <w:sz w:val="24"/>
        </w:rPr>
        <w:t xml:space="preserve"> фирм, </w:t>
      </w:r>
      <w:r w:rsidR="00451E47" w:rsidRPr="000937E7">
        <w:rPr>
          <w:rFonts w:ascii="Times New Roman" w:hAnsi="Times New Roman" w:cs="Times New Roman"/>
          <w:sz w:val="24"/>
        </w:rPr>
        <w:t xml:space="preserve"> </w:t>
      </w:r>
      <w:r w:rsidR="00451E47">
        <w:rPr>
          <w:rFonts w:ascii="Times New Roman" w:hAnsi="Times New Roman" w:cs="Times New Roman"/>
          <w:sz w:val="24"/>
        </w:rPr>
        <w:t xml:space="preserve">определение области </w:t>
      </w:r>
      <w:r w:rsidR="00451E47">
        <w:rPr>
          <w:rFonts w:ascii="Times New Roman" w:hAnsi="Times New Roman" w:cs="Times New Roman"/>
          <w:sz w:val="24"/>
        </w:rPr>
        <w:lastRenderedPageBreak/>
        <w:t>их применения и границ</w:t>
      </w:r>
      <w:r w:rsidR="00451E47" w:rsidRPr="000937E7">
        <w:rPr>
          <w:rFonts w:ascii="Times New Roman" w:hAnsi="Times New Roman" w:cs="Times New Roman"/>
          <w:sz w:val="24"/>
        </w:rPr>
        <w:t xml:space="preserve"> применимости</w:t>
      </w:r>
      <w:r w:rsidR="00451E47">
        <w:rPr>
          <w:rFonts w:ascii="Times New Roman" w:hAnsi="Times New Roman" w:cs="Times New Roman"/>
          <w:sz w:val="24"/>
        </w:rPr>
        <w:t>, выступает</w:t>
      </w:r>
      <w:r w:rsidR="00451E47" w:rsidRPr="000937E7">
        <w:rPr>
          <w:rFonts w:ascii="Times New Roman" w:hAnsi="Times New Roman" w:cs="Times New Roman"/>
          <w:sz w:val="24"/>
        </w:rPr>
        <w:t xml:space="preserve"> </w:t>
      </w:r>
      <w:r w:rsidR="00451E47">
        <w:rPr>
          <w:rFonts w:ascii="Times New Roman" w:hAnsi="Times New Roman" w:cs="Times New Roman"/>
          <w:sz w:val="24"/>
        </w:rPr>
        <w:t>одной</w:t>
      </w:r>
      <w:r w:rsidRPr="000937E7">
        <w:rPr>
          <w:rFonts w:ascii="Times New Roman" w:hAnsi="Times New Roman" w:cs="Times New Roman"/>
          <w:sz w:val="24"/>
        </w:rPr>
        <w:t xml:space="preserve"> из </w:t>
      </w:r>
      <w:r w:rsidR="00451E47">
        <w:rPr>
          <w:rFonts w:ascii="Times New Roman" w:hAnsi="Times New Roman" w:cs="Times New Roman"/>
          <w:sz w:val="24"/>
        </w:rPr>
        <w:t xml:space="preserve">наиболее важных </w:t>
      </w:r>
      <w:r w:rsidRPr="000937E7">
        <w:rPr>
          <w:rFonts w:ascii="Times New Roman" w:hAnsi="Times New Roman" w:cs="Times New Roman"/>
          <w:sz w:val="24"/>
        </w:rPr>
        <w:t>методологических проблем</w:t>
      </w:r>
      <w:r w:rsidR="00451E47">
        <w:rPr>
          <w:rFonts w:ascii="Times New Roman" w:hAnsi="Times New Roman" w:cs="Times New Roman"/>
          <w:sz w:val="24"/>
        </w:rPr>
        <w:t xml:space="preserve">. </w:t>
      </w:r>
      <w:r w:rsidR="00C4466D" w:rsidRPr="000937E7">
        <w:rPr>
          <w:rFonts w:ascii="Times New Roman" w:hAnsi="Times New Roman" w:cs="Times New Roman"/>
          <w:sz w:val="24"/>
        </w:rPr>
        <w:t>Особую актуальность</w:t>
      </w:r>
      <w:r w:rsidRPr="000937E7">
        <w:rPr>
          <w:rFonts w:ascii="Times New Roman" w:hAnsi="Times New Roman" w:cs="Times New Roman"/>
          <w:sz w:val="24"/>
        </w:rPr>
        <w:t xml:space="preserve"> </w:t>
      </w:r>
      <w:r w:rsidR="00451E47">
        <w:rPr>
          <w:rFonts w:ascii="Times New Roman" w:hAnsi="Times New Roman" w:cs="Times New Roman"/>
          <w:sz w:val="24"/>
        </w:rPr>
        <w:t xml:space="preserve">имеет </w:t>
      </w:r>
      <w:r w:rsidRPr="000937E7">
        <w:rPr>
          <w:rFonts w:ascii="Times New Roman" w:hAnsi="Times New Roman" w:cs="Times New Roman"/>
          <w:sz w:val="24"/>
        </w:rPr>
        <w:t>построени</w:t>
      </w:r>
      <w:r w:rsidR="00451E47">
        <w:rPr>
          <w:rFonts w:ascii="Times New Roman" w:hAnsi="Times New Roman" w:cs="Times New Roman"/>
          <w:sz w:val="24"/>
        </w:rPr>
        <w:t>е</w:t>
      </w:r>
      <w:r w:rsidR="00EE1FF6" w:rsidRPr="000937E7">
        <w:rPr>
          <w:rFonts w:ascii="Times New Roman" w:hAnsi="Times New Roman" w:cs="Times New Roman"/>
          <w:sz w:val="24"/>
        </w:rPr>
        <w:t xml:space="preserve"> адекватной</w:t>
      </w:r>
      <w:r w:rsidRPr="000937E7">
        <w:rPr>
          <w:rFonts w:ascii="Times New Roman" w:hAnsi="Times New Roman" w:cs="Times New Roman"/>
          <w:sz w:val="24"/>
        </w:rPr>
        <w:t xml:space="preserve"> классификаци</w:t>
      </w:r>
      <w:r w:rsidR="00C4466D" w:rsidRPr="000937E7">
        <w:rPr>
          <w:rFonts w:ascii="Times New Roman" w:hAnsi="Times New Roman" w:cs="Times New Roman"/>
          <w:sz w:val="24"/>
        </w:rPr>
        <w:t>и</w:t>
      </w:r>
      <w:r w:rsidRPr="000937E7">
        <w:rPr>
          <w:rFonts w:ascii="Times New Roman" w:hAnsi="Times New Roman" w:cs="Times New Roman"/>
          <w:sz w:val="24"/>
        </w:rPr>
        <w:t xml:space="preserve"> факторов динамики, которая бы учитывала как их богатый состав, так и взаимосвязь между ними.</w:t>
      </w:r>
    </w:p>
    <w:p w:rsidR="000B55CD" w:rsidRPr="000937E7" w:rsidRDefault="00CE245B" w:rsidP="00451E4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937E7">
        <w:rPr>
          <w:rFonts w:ascii="Times New Roman" w:hAnsi="Times New Roman" w:cs="Times New Roman"/>
          <w:sz w:val="24"/>
        </w:rPr>
        <w:t>5</w:t>
      </w:r>
      <w:r w:rsidR="00B36AF2" w:rsidRPr="000937E7">
        <w:rPr>
          <w:rFonts w:ascii="Times New Roman" w:hAnsi="Times New Roman" w:cs="Times New Roman"/>
          <w:sz w:val="24"/>
        </w:rPr>
        <w:t xml:space="preserve">. </w:t>
      </w:r>
      <w:r w:rsidR="00C4466D" w:rsidRPr="000937E7">
        <w:rPr>
          <w:rFonts w:ascii="Times New Roman" w:hAnsi="Times New Roman" w:cs="Times New Roman"/>
          <w:sz w:val="24"/>
        </w:rPr>
        <w:t>Установлено, что в</w:t>
      </w:r>
      <w:r w:rsidR="000B55CD" w:rsidRPr="000937E7">
        <w:rPr>
          <w:rFonts w:ascii="Times New Roman" w:hAnsi="Times New Roman" w:cs="Times New Roman"/>
          <w:sz w:val="24"/>
        </w:rPr>
        <w:t xml:space="preserve"> период 2005</w:t>
      </w:r>
      <w:r w:rsidR="000770EA" w:rsidRPr="000937E7">
        <w:rPr>
          <w:rFonts w:ascii="Times New Roman" w:hAnsi="Times New Roman" w:cs="Times New Roman"/>
          <w:sz w:val="24"/>
        </w:rPr>
        <w:t>–</w:t>
      </w:r>
      <w:r w:rsidR="000B55CD" w:rsidRPr="000937E7">
        <w:rPr>
          <w:rFonts w:ascii="Times New Roman" w:hAnsi="Times New Roman" w:cs="Times New Roman"/>
          <w:sz w:val="24"/>
        </w:rPr>
        <w:t xml:space="preserve">2021 гг. динамика создания новых компаний </w:t>
      </w:r>
      <w:r w:rsidR="000937E7">
        <w:rPr>
          <w:rFonts w:ascii="Times New Roman" w:hAnsi="Times New Roman" w:cs="Times New Roman"/>
          <w:sz w:val="24"/>
        </w:rPr>
        <w:t>в российских регионах</w:t>
      </w:r>
      <w:r w:rsidR="000937E7" w:rsidRPr="000937E7">
        <w:rPr>
          <w:rFonts w:ascii="Times New Roman" w:hAnsi="Times New Roman" w:cs="Times New Roman"/>
          <w:sz w:val="24"/>
        </w:rPr>
        <w:t xml:space="preserve"> </w:t>
      </w:r>
      <w:r w:rsidR="00451E47">
        <w:rPr>
          <w:rFonts w:ascii="Times New Roman" w:hAnsi="Times New Roman" w:cs="Times New Roman"/>
          <w:sz w:val="24"/>
        </w:rPr>
        <w:t xml:space="preserve">существенно </w:t>
      </w:r>
      <w:r w:rsidR="000B55CD" w:rsidRPr="000937E7">
        <w:rPr>
          <w:rFonts w:ascii="Times New Roman" w:hAnsi="Times New Roman" w:cs="Times New Roman"/>
          <w:sz w:val="24"/>
        </w:rPr>
        <w:t>различалась, при этом з</w:t>
      </w:r>
      <w:r w:rsidR="00B36AF2" w:rsidRPr="000937E7">
        <w:rPr>
          <w:rFonts w:ascii="Times New Roman" w:hAnsi="Times New Roman" w:cs="Times New Roman"/>
          <w:sz w:val="24"/>
        </w:rPr>
        <w:t>афиксирована</w:t>
      </w:r>
      <w:r w:rsidR="00AB6C08" w:rsidRPr="000937E7">
        <w:rPr>
          <w:rFonts w:ascii="Times New Roman" w:hAnsi="Times New Roman" w:cs="Times New Roman"/>
          <w:sz w:val="24"/>
        </w:rPr>
        <w:t xml:space="preserve"> практически двукратная разница в абсолютных значениях коэффициентов входа между </w:t>
      </w:r>
      <w:r w:rsidR="000B55CD" w:rsidRPr="000937E7">
        <w:rPr>
          <w:rFonts w:ascii="Times New Roman" w:hAnsi="Times New Roman" w:cs="Times New Roman"/>
          <w:sz w:val="24"/>
        </w:rPr>
        <w:t>"</w:t>
      </w:r>
      <w:r w:rsidR="00AB6C08" w:rsidRPr="000937E7">
        <w:rPr>
          <w:rFonts w:ascii="Times New Roman" w:hAnsi="Times New Roman" w:cs="Times New Roman"/>
          <w:sz w:val="24"/>
        </w:rPr>
        <w:t>регионами-лидерами</w:t>
      </w:r>
      <w:r w:rsidR="000B55CD" w:rsidRPr="000937E7">
        <w:rPr>
          <w:rFonts w:ascii="Times New Roman" w:hAnsi="Times New Roman" w:cs="Times New Roman"/>
          <w:sz w:val="24"/>
        </w:rPr>
        <w:t>"</w:t>
      </w:r>
      <w:r w:rsidR="00BC5096" w:rsidRPr="000937E7">
        <w:rPr>
          <w:rFonts w:ascii="Times New Roman" w:hAnsi="Times New Roman" w:cs="Times New Roman"/>
          <w:sz w:val="24"/>
        </w:rPr>
        <w:t xml:space="preserve"> </w:t>
      </w:r>
      <w:r w:rsidR="00AB6C08" w:rsidRPr="000937E7">
        <w:rPr>
          <w:rFonts w:ascii="Times New Roman" w:hAnsi="Times New Roman" w:cs="Times New Roman"/>
          <w:sz w:val="24"/>
        </w:rPr>
        <w:t xml:space="preserve">и </w:t>
      </w:r>
      <w:r w:rsidR="000B55CD" w:rsidRPr="000937E7">
        <w:rPr>
          <w:rFonts w:ascii="Times New Roman" w:hAnsi="Times New Roman" w:cs="Times New Roman"/>
          <w:sz w:val="24"/>
        </w:rPr>
        <w:t>"регионами-</w:t>
      </w:r>
      <w:r w:rsidR="00AB6C08" w:rsidRPr="000937E7">
        <w:rPr>
          <w:rFonts w:ascii="Times New Roman" w:hAnsi="Times New Roman" w:cs="Times New Roman"/>
          <w:sz w:val="24"/>
        </w:rPr>
        <w:t>аутсайдерами</w:t>
      </w:r>
      <w:r w:rsidR="006C5F64" w:rsidRPr="000937E7">
        <w:rPr>
          <w:rFonts w:ascii="Times New Roman" w:hAnsi="Times New Roman" w:cs="Times New Roman"/>
          <w:sz w:val="24"/>
        </w:rPr>
        <w:t>".</w:t>
      </w:r>
      <w:r w:rsidR="00B36AF2" w:rsidRPr="000937E7">
        <w:rPr>
          <w:rFonts w:ascii="Times New Roman" w:hAnsi="Times New Roman" w:cs="Times New Roman"/>
          <w:sz w:val="24"/>
        </w:rPr>
        <w:t xml:space="preserve"> </w:t>
      </w:r>
      <w:r w:rsidR="005975A3" w:rsidRPr="000937E7">
        <w:rPr>
          <w:rFonts w:ascii="Times New Roman" w:hAnsi="Times New Roman" w:cs="Times New Roman"/>
          <w:sz w:val="24"/>
        </w:rPr>
        <w:t>Выдвинута и тестируется гипотеза, что регионы с развитой положительной динамикой компаний и высокими показателями деловой активности обладают повышенным "запасом прочности" для адаптации к кризисным шокам и последующего выхода на устойчивую траекторию экономического роста.</w:t>
      </w:r>
    </w:p>
    <w:p w:rsidR="00AB6C08" w:rsidRPr="000937E7" w:rsidRDefault="000B55CD" w:rsidP="00451E4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937E7">
        <w:rPr>
          <w:rFonts w:ascii="Times New Roman" w:hAnsi="Times New Roman" w:cs="Times New Roman"/>
          <w:sz w:val="24"/>
        </w:rPr>
        <w:t xml:space="preserve">В целом по стране на протяжении последних </w:t>
      </w:r>
      <w:r w:rsidR="00D857C7">
        <w:rPr>
          <w:rFonts w:ascii="Times New Roman" w:hAnsi="Times New Roman" w:cs="Times New Roman"/>
          <w:sz w:val="24"/>
        </w:rPr>
        <w:t>пятнадцати</w:t>
      </w:r>
      <w:r w:rsidRPr="000937E7">
        <w:rPr>
          <w:rFonts w:ascii="Times New Roman" w:hAnsi="Times New Roman" w:cs="Times New Roman"/>
          <w:sz w:val="24"/>
        </w:rPr>
        <w:t xml:space="preserve"> лет </w:t>
      </w:r>
      <w:r w:rsidR="00AB6C08" w:rsidRPr="000937E7">
        <w:rPr>
          <w:rFonts w:ascii="Times New Roman" w:hAnsi="Times New Roman" w:cs="Times New Roman"/>
          <w:sz w:val="24"/>
        </w:rPr>
        <w:t>абсолютн</w:t>
      </w:r>
      <w:r w:rsidRPr="000937E7">
        <w:rPr>
          <w:rFonts w:ascii="Times New Roman" w:hAnsi="Times New Roman" w:cs="Times New Roman"/>
          <w:sz w:val="24"/>
        </w:rPr>
        <w:t xml:space="preserve">ые значения </w:t>
      </w:r>
      <w:r w:rsidR="00EE1FF6" w:rsidRPr="000937E7">
        <w:rPr>
          <w:rFonts w:ascii="Times New Roman" w:hAnsi="Times New Roman" w:cs="Times New Roman"/>
          <w:sz w:val="24"/>
        </w:rPr>
        <w:t>коэффициента входа</w:t>
      </w:r>
      <w:r w:rsidRPr="000937E7">
        <w:rPr>
          <w:rFonts w:ascii="Times New Roman" w:hAnsi="Times New Roman" w:cs="Times New Roman"/>
          <w:sz w:val="24"/>
        </w:rPr>
        <w:t xml:space="preserve"> демонстрир</w:t>
      </w:r>
      <w:r w:rsidR="00EE1FF6" w:rsidRPr="000937E7">
        <w:rPr>
          <w:rFonts w:ascii="Times New Roman" w:hAnsi="Times New Roman" w:cs="Times New Roman"/>
          <w:sz w:val="24"/>
        </w:rPr>
        <w:t>овали тенденцию</w:t>
      </w:r>
      <w:r w:rsidR="00AB6C08" w:rsidRPr="000937E7">
        <w:rPr>
          <w:rFonts w:ascii="Times New Roman" w:hAnsi="Times New Roman" w:cs="Times New Roman"/>
          <w:sz w:val="24"/>
        </w:rPr>
        <w:t xml:space="preserve"> поступательно</w:t>
      </w:r>
      <w:r w:rsidR="00EE1FF6" w:rsidRPr="000937E7">
        <w:rPr>
          <w:rFonts w:ascii="Times New Roman" w:hAnsi="Times New Roman" w:cs="Times New Roman"/>
          <w:sz w:val="24"/>
        </w:rPr>
        <w:t>го</w:t>
      </w:r>
      <w:r w:rsidRPr="000937E7">
        <w:rPr>
          <w:rFonts w:ascii="Times New Roman" w:hAnsi="Times New Roman" w:cs="Times New Roman"/>
          <w:sz w:val="24"/>
        </w:rPr>
        <w:t xml:space="preserve"> </w:t>
      </w:r>
      <w:r w:rsidR="00AB6C08" w:rsidRPr="000937E7">
        <w:rPr>
          <w:rFonts w:ascii="Times New Roman" w:hAnsi="Times New Roman" w:cs="Times New Roman"/>
          <w:sz w:val="24"/>
        </w:rPr>
        <w:t>снижени</w:t>
      </w:r>
      <w:r w:rsidR="00D857C7">
        <w:rPr>
          <w:rFonts w:ascii="Times New Roman" w:hAnsi="Times New Roman" w:cs="Times New Roman"/>
          <w:sz w:val="24"/>
        </w:rPr>
        <w:t>я</w:t>
      </w:r>
      <w:r w:rsidRPr="000937E7">
        <w:rPr>
          <w:rFonts w:ascii="Times New Roman" w:hAnsi="Times New Roman" w:cs="Times New Roman"/>
          <w:sz w:val="24"/>
        </w:rPr>
        <w:t>. В п</w:t>
      </w:r>
      <w:r w:rsidR="00AB6C08" w:rsidRPr="000937E7">
        <w:rPr>
          <w:rFonts w:ascii="Times New Roman" w:hAnsi="Times New Roman" w:cs="Times New Roman"/>
          <w:sz w:val="24"/>
        </w:rPr>
        <w:t xml:space="preserve">ериоды </w:t>
      </w:r>
      <w:r w:rsidR="00EE1FF6" w:rsidRPr="000937E7">
        <w:rPr>
          <w:rFonts w:ascii="Times New Roman" w:hAnsi="Times New Roman" w:cs="Times New Roman"/>
          <w:sz w:val="24"/>
        </w:rPr>
        <w:t xml:space="preserve">острых </w:t>
      </w:r>
      <w:r w:rsidR="00AB6C08" w:rsidRPr="000937E7">
        <w:rPr>
          <w:rFonts w:ascii="Times New Roman" w:hAnsi="Times New Roman" w:cs="Times New Roman"/>
          <w:sz w:val="24"/>
        </w:rPr>
        <w:t>кризисов (2008</w:t>
      </w:r>
      <w:r w:rsidR="000770EA" w:rsidRPr="000937E7">
        <w:rPr>
          <w:rFonts w:ascii="Times New Roman" w:hAnsi="Times New Roman" w:cs="Times New Roman"/>
          <w:sz w:val="24"/>
        </w:rPr>
        <w:t>–</w:t>
      </w:r>
      <w:r w:rsidR="00AB6C08" w:rsidRPr="000937E7">
        <w:rPr>
          <w:rFonts w:ascii="Times New Roman" w:hAnsi="Times New Roman" w:cs="Times New Roman"/>
          <w:sz w:val="24"/>
        </w:rPr>
        <w:t>2009, 2019</w:t>
      </w:r>
      <w:r w:rsidR="000770EA" w:rsidRPr="000937E7">
        <w:rPr>
          <w:rFonts w:ascii="Times New Roman" w:hAnsi="Times New Roman" w:cs="Times New Roman"/>
          <w:sz w:val="24"/>
        </w:rPr>
        <w:t>–</w:t>
      </w:r>
      <w:r w:rsidR="00AB6C08" w:rsidRPr="000937E7">
        <w:rPr>
          <w:rFonts w:ascii="Times New Roman" w:hAnsi="Times New Roman" w:cs="Times New Roman"/>
          <w:sz w:val="24"/>
        </w:rPr>
        <w:t>2020</w:t>
      </w:r>
      <w:r w:rsidR="000770EA" w:rsidRPr="000937E7">
        <w:rPr>
          <w:rFonts w:ascii="Times New Roman" w:hAnsi="Times New Roman" w:cs="Times New Roman"/>
          <w:sz w:val="24"/>
        </w:rPr>
        <w:t xml:space="preserve"> гг.</w:t>
      </w:r>
      <w:r w:rsidR="00AB6C08" w:rsidRPr="000937E7">
        <w:rPr>
          <w:rFonts w:ascii="Times New Roman" w:hAnsi="Times New Roman" w:cs="Times New Roman"/>
          <w:sz w:val="24"/>
        </w:rPr>
        <w:t>) и локальных рецессий (2012</w:t>
      </w:r>
      <w:r w:rsidR="000770EA" w:rsidRPr="000937E7">
        <w:rPr>
          <w:rFonts w:ascii="Times New Roman" w:hAnsi="Times New Roman" w:cs="Times New Roman"/>
          <w:sz w:val="24"/>
        </w:rPr>
        <w:t>–</w:t>
      </w:r>
      <w:r w:rsidR="00AB6C08" w:rsidRPr="000937E7">
        <w:rPr>
          <w:rFonts w:ascii="Times New Roman" w:hAnsi="Times New Roman" w:cs="Times New Roman"/>
          <w:sz w:val="24"/>
        </w:rPr>
        <w:t>2014; 2016</w:t>
      </w:r>
      <w:r w:rsidR="000770EA" w:rsidRPr="000937E7">
        <w:rPr>
          <w:rFonts w:ascii="Times New Roman" w:hAnsi="Times New Roman" w:cs="Times New Roman"/>
          <w:sz w:val="24"/>
        </w:rPr>
        <w:t>–</w:t>
      </w:r>
      <w:r w:rsidR="00AB6C08" w:rsidRPr="000937E7">
        <w:rPr>
          <w:rFonts w:ascii="Times New Roman" w:hAnsi="Times New Roman" w:cs="Times New Roman"/>
          <w:sz w:val="24"/>
        </w:rPr>
        <w:t>2018</w:t>
      </w:r>
      <w:r w:rsidR="000770EA" w:rsidRPr="000937E7">
        <w:rPr>
          <w:rFonts w:ascii="Times New Roman" w:hAnsi="Times New Roman" w:cs="Times New Roman"/>
          <w:sz w:val="24"/>
        </w:rPr>
        <w:t xml:space="preserve"> гг.</w:t>
      </w:r>
      <w:r w:rsidR="00AB6C08" w:rsidRPr="000937E7">
        <w:rPr>
          <w:rFonts w:ascii="Times New Roman" w:hAnsi="Times New Roman" w:cs="Times New Roman"/>
          <w:sz w:val="24"/>
        </w:rPr>
        <w:t>) фиксир</w:t>
      </w:r>
      <w:r w:rsidR="00EE1FF6" w:rsidRPr="000937E7">
        <w:rPr>
          <w:rFonts w:ascii="Times New Roman" w:hAnsi="Times New Roman" w:cs="Times New Roman"/>
          <w:sz w:val="24"/>
        </w:rPr>
        <w:t>овалось</w:t>
      </w:r>
      <w:r w:rsidRPr="000937E7">
        <w:rPr>
          <w:rFonts w:ascii="Times New Roman" w:hAnsi="Times New Roman" w:cs="Times New Roman"/>
          <w:sz w:val="24"/>
        </w:rPr>
        <w:t xml:space="preserve"> резкое снижение</w:t>
      </w:r>
      <w:r w:rsidR="00EE1FF6" w:rsidRPr="000937E7">
        <w:rPr>
          <w:rFonts w:ascii="Times New Roman" w:hAnsi="Times New Roman" w:cs="Times New Roman"/>
          <w:sz w:val="24"/>
        </w:rPr>
        <w:t xml:space="preserve"> данного индикатора</w:t>
      </w:r>
      <w:r w:rsidRPr="000937E7">
        <w:rPr>
          <w:rFonts w:ascii="Times New Roman" w:hAnsi="Times New Roman" w:cs="Times New Roman"/>
          <w:sz w:val="24"/>
        </w:rPr>
        <w:t>,</w:t>
      </w:r>
      <w:r w:rsidR="00AB6C08" w:rsidRPr="000937E7">
        <w:rPr>
          <w:rFonts w:ascii="Times New Roman" w:hAnsi="Times New Roman" w:cs="Times New Roman"/>
          <w:sz w:val="24"/>
        </w:rPr>
        <w:t xml:space="preserve"> </w:t>
      </w:r>
      <w:r w:rsidRPr="000937E7">
        <w:rPr>
          <w:rFonts w:ascii="Times New Roman" w:hAnsi="Times New Roman" w:cs="Times New Roman"/>
          <w:sz w:val="24"/>
        </w:rPr>
        <w:t>а</w:t>
      </w:r>
      <w:r w:rsidR="00AB6C08" w:rsidRPr="000937E7">
        <w:rPr>
          <w:rFonts w:ascii="Times New Roman" w:hAnsi="Times New Roman" w:cs="Times New Roman"/>
          <w:sz w:val="24"/>
        </w:rPr>
        <w:t xml:space="preserve"> в экономически "благополучный" период (2005</w:t>
      </w:r>
      <w:r w:rsidR="000770EA" w:rsidRPr="000937E7">
        <w:rPr>
          <w:rFonts w:ascii="Times New Roman" w:hAnsi="Times New Roman" w:cs="Times New Roman"/>
          <w:sz w:val="24"/>
        </w:rPr>
        <w:t>–</w:t>
      </w:r>
      <w:r w:rsidR="00AB6C08" w:rsidRPr="000937E7">
        <w:rPr>
          <w:rFonts w:ascii="Times New Roman" w:hAnsi="Times New Roman" w:cs="Times New Roman"/>
          <w:sz w:val="24"/>
        </w:rPr>
        <w:t>2008) и периоды "восстановительного роста" (2010</w:t>
      </w:r>
      <w:r w:rsidR="000770EA" w:rsidRPr="000937E7">
        <w:rPr>
          <w:rFonts w:ascii="Times New Roman" w:hAnsi="Times New Roman" w:cs="Times New Roman"/>
          <w:sz w:val="24"/>
        </w:rPr>
        <w:t>–</w:t>
      </w:r>
      <w:r w:rsidR="00EE1FF6" w:rsidRPr="000937E7">
        <w:rPr>
          <w:rFonts w:ascii="Times New Roman" w:hAnsi="Times New Roman" w:cs="Times New Roman"/>
          <w:sz w:val="24"/>
        </w:rPr>
        <w:t>2012,</w:t>
      </w:r>
      <w:r w:rsidR="00AB6C08" w:rsidRPr="000937E7">
        <w:rPr>
          <w:rFonts w:ascii="Times New Roman" w:hAnsi="Times New Roman" w:cs="Times New Roman"/>
          <w:sz w:val="24"/>
        </w:rPr>
        <w:t xml:space="preserve"> 2020</w:t>
      </w:r>
      <w:r w:rsidR="000770EA" w:rsidRPr="000937E7">
        <w:rPr>
          <w:rFonts w:ascii="Times New Roman" w:hAnsi="Times New Roman" w:cs="Times New Roman"/>
          <w:sz w:val="24"/>
        </w:rPr>
        <w:t>–</w:t>
      </w:r>
      <w:r w:rsidR="00AB6C08" w:rsidRPr="000937E7">
        <w:rPr>
          <w:rFonts w:ascii="Times New Roman" w:hAnsi="Times New Roman" w:cs="Times New Roman"/>
          <w:sz w:val="24"/>
        </w:rPr>
        <w:t>2021</w:t>
      </w:r>
      <w:r w:rsidR="00EE1FF6" w:rsidRPr="000937E7">
        <w:rPr>
          <w:rFonts w:ascii="Times New Roman" w:hAnsi="Times New Roman" w:cs="Times New Roman"/>
          <w:sz w:val="24"/>
        </w:rPr>
        <w:t xml:space="preserve"> гг.</w:t>
      </w:r>
      <w:r w:rsidR="00AB6C08" w:rsidRPr="000937E7">
        <w:rPr>
          <w:rFonts w:ascii="Times New Roman" w:hAnsi="Times New Roman" w:cs="Times New Roman"/>
          <w:sz w:val="24"/>
        </w:rPr>
        <w:t>)</w:t>
      </w:r>
      <w:r w:rsidR="00EE1FF6" w:rsidRPr="000937E7">
        <w:rPr>
          <w:rFonts w:ascii="Times New Roman" w:hAnsi="Times New Roman" w:cs="Times New Roman"/>
          <w:sz w:val="24"/>
        </w:rPr>
        <w:t xml:space="preserve"> – увеличение его значений.</w:t>
      </w:r>
    </w:p>
    <w:p w:rsidR="00C4466D" w:rsidRPr="000937E7" w:rsidRDefault="00FB6602" w:rsidP="00451E4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937E7">
        <w:rPr>
          <w:rFonts w:ascii="Times New Roman" w:hAnsi="Times New Roman" w:cs="Times New Roman"/>
          <w:sz w:val="24"/>
        </w:rPr>
        <w:t>Сравнения по регионам и годам темпов прироста коэффициентов входа и выхода компаний с темпами прироста валового регионального продукта указыва</w:t>
      </w:r>
      <w:r w:rsidR="000770EA" w:rsidRPr="000937E7">
        <w:rPr>
          <w:rFonts w:ascii="Times New Roman" w:hAnsi="Times New Roman" w:cs="Times New Roman"/>
          <w:sz w:val="24"/>
        </w:rPr>
        <w:t>ю</w:t>
      </w:r>
      <w:r w:rsidRPr="000937E7">
        <w:rPr>
          <w:rFonts w:ascii="Times New Roman" w:hAnsi="Times New Roman" w:cs="Times New Roman"/>
          <w:sz w:val="24"/>
        </w:rPr>
        <w:t xml:space="preserve">т на </w:t>
      </w:r>
      <w:proofErr w:type="spellStart"/>
      <w:r w:rsidRPr="000937E7">
        <w:rPr>
          <w:rFonts w:ascii="Times New Roman" w:hAnsi="Times New Roman" w:cs="Times New Roman"/>
          <w:sz w:val="24"/>
        </w:rPr>
        <w:t>процикличный</w:t>
      </w:r>
      <w:proofErr w:type="spellEnd"/>
      <w:r w:rsidRPr="000937E7">
        <w:rPr>
          <w:rFonts w:ascii="Times New Roman" w:hAnsi="Times New Roman" w:cs="Times New Roman"/>
          <w:sz w:val="24"/>
        </w:rPr>
        <w:t xml:space="preserve"> характер</w:t>
      </w:r>
      <w:r w:rsidR="00CE07D6">
        <w:rPr>
          <w:rFonts w:ascii="Times New Roman" w:hAnsi="Times New Roman" w:cs="Times New Roman"/>
          <w:sz w:val="24"/>
        </w:rPr>
        <w:t xml:space="preserve"> </w:t>
      </w:r>
      <w:r w:rsidRPr="000937E7">
        <w:rPr>
          <w:rFonts w:ascii="Times New Roman" w:hAnsi="Times New Roman" w:cs="Times New Roman"/>
          <w:sz w:val="24"/>
        </w:rPr>
        <w:t xml:space="preserve">динамики первого (до 2016 года), и умеренно </w:t>
      </w:r>
      <w:proofErr w:type="spellStart"/>
      <w:r w:rsidR="00451E47">
        <w:rPr>
          <w:rFonts w:ascii="Times New Roman" w:hAnsi="Times New Roman" w:cs="Times New Roman"/>
          <w:sz w:val="24"/>
        </w:rPr>
        <w:t>контр</w:t>
      </w:r>
      <w:r w:rsidRPr="000937E7">
        <w:rPr>
          <w:rFonts w:ascii="Times New Roman" w:hAnsi="Times New Roman" w:cs="Times New Roman"/>
          <w:sz w:val="24"/>
        </w:rPr>
        <w:t>цикличный</w:t>
      </w:r>
      <w:proofErr w:type="spellEnd"/>
      <w:r w:rsidRPr="000937E7">
        <w:rPr>
          <w:rFonts w:ascii="Times New Roman" w:hAnsi="Times New Roman" w:cs="Times New Roman"/>
          <w:sz w:val="24"/>
        </w:rPr>
        <w:t xml:space="preserve"> характер</w:t>
      </w:r>
      <w:r w:rsidR="00CE07D6">
        <w:rPr>
          <w:rFonts w:ascii="Times New Roman" w:hAnsi="Times New Roman" w:cs="Times New Roman"/>
          <w:sz w:val="24"/>
        </w:rPr>
        <w:t xml:space="preserve"> </w:t>
      </w:r>
      <w:r w:rsidRPr="000937E7">
        <w:rPr>
          <w:rFonts w:ascii="Times New Roman" w:hAnsi="Times New Roman" w:cs="Times New Roman"/>
          <w:sz w:val="24"/>
        </w:rPr>
        <w:t>динамики второго.</w:t>
      </w:r>
      <w:r w:rsidR="0004421B" w:rsidRPr="000937E7">
        <w:rPr>
          <w:rFonts w:ascii="Times New Roman" w:hAnsi="Times New Roman" w:cs="Times New Roman"/>
          <w:sz w:val="24"/>
        </w:rPr>
        <w:t xml:space="preserve"> </w:t>
      </w:r>
      <w:r w:rsidRPr="000937E7">
        <w:rPr>
          <w:rFonts w:ascii="Times New Roman" w:hAnsi="Times New Roman" w:cs="Times New Roman"/>
          <w:sz w:val="24"/>
        </w:rPr>
        <w:t>В</w:t>
      </w:r>
      <w:r w:rsidR="00AB6C08" w:rsidRPr="000937E7">
        <w:rPr>
          <w:rFonts w:ascii="Times New Roman" w:hAnsi="Times New Roman" w:cs="Times New Roman"/>
          <w:sz w:val="24"/>
        </w:rPr>
        <w:t xml:space="preserve"> периоды более высок</w:t>
      </w:r>
      <w:r w:rsidRPr="000937E7">
        <w:rPr>
          <w:rFonts w:ascii="Times New Roman" w:hAnsi="Times New Roman" w:cs="Times New Roman"/>
          <w:sz w:val="24"/>
        </w:rPr>
        <w:t xml:space="preserve">их темпов экономического </w:t>
      </w:r>
      <w:r w:rsidR="00AB6C08" w:rsidRPr="000937E7">
        <w:rPr>
          <w:rFonts w:ascii="Times New Roman" w:hAnsi="Times New Roman" w:cs="Times New Roman"/>
          <w:sz w:val="24"/>
        </w:rPr>
        <w:t xml:space="preserve">роста </w:t>
      </w:r>
      <w:r w:rsidRPr="000937E7">
        <w:rPr>
          <w:rFonts w:ascii="Times New Roman" w:hAnsi="Times New Roman" w:cs="Times New Roman"/>
          <w:sz w:val="24"/>
        </w:rPr>
        <w:t>фиксируется относительно</w:t>
      </w:r>
      <w:r w:rsidR="00AB6C08" w:rsidRPr="000937E7">
        <w:rPr>
          <w:rFonts w:ascii="Times New Roman" w:hAnsi="Times New Roman" w:cs="Times New Roman"/>
          <w:sz w:val="24"/>
        </w:rPr>
        <w:t xml:space="preserve"> более низкий уровень выхода</w:t>
      </w:r>
      <w:r w:rsidRPr="000937E7">
        <w:rPr>
          <w:rFonts w:ascii="Times New Roman" w:hAnsi="Times New Roman" w:cs="Times New Roman"/>
          <w:sz w:val="24"/>
        </w:rPr>
        <w:t xml:space="preserve"> действующих фирм</w:t>
      </w:r>
      <w:r w:rsidR="00AB6C08" w:rsidRPr="000937E7">
        <w:rPr>
          <w:rFonts w:ascii="Times New Roman" w:hAnsi="Times New Roman" w:cs="Times New Roman"/>
          <w:sz w:val="24"/>
        </w:rPr>
        <w:t xml:space="preserve">, </w:t>
      </w:r>
      <w:r w:rsidRPr="000937E7">
        <w:rPr>
          <w:rFonts w:ascii="Times New Roman" w:hAnsi="Times New Roman" w:cs="Times New Roman"/>
          <w:sz w:val="24"/>
        </w:rPr>
        <w:t>а в периоды снижения темпов</w:t>
      </w:r>
      <w:r w:rsidR="00AB6C08" w:rsidRPr="000937E7">
        <w:rPr>
          <w:rFonts w:ascii="Times New Roman" w:hAnsi="Times New Roman" w:cs="Times New Roman"/>
          <w:sz w:val="24"/>
        </w:rPr>
        <w:t xml:space="preserve"> </w:t>
      </w:r>
      <w:r w:rsidRPr="000937E7">
        <w:rPr>
          <w:rFonts w:ascii="Times New Roman" w:hAnsi="Times New Roman" w:cs="Times New Roman"/>
          <w:sz w:val="24"/>
        </w:rPr>
        <w:t xml:space="preserve">экономического </w:t>
      </w:r>
      <w:r w:rsidR="00AB6C08" w:rsidRPr="000937E7">
        <w:rPr>
          <w:rFonts w:ascii="Times New Roman" w:hAnsi="Times New Roman" w:cs="Times New Roman"/>
          <w:sz w:val="24"/>
        </w:rPr>
        <w:t>роста –</w:t>
      </w:r>
      <w:r w:rsidRPr="000937E7">
        <w:rPr>
          <w:rFonts w:ascii="Times New Roman" w:hAnsi="Times New Roman" w:cs="Times New Roman"/>
          <w:sz w:val="24"/>
        </w:rPr>
        <w:t xml:space="preserve"> </w:t>
      </w:r>
      <w:r w:rsidR="00AB6C08" w:rsidRPr="000937E7">
        <w:rPr>
          <w:rFonts w:ascii="Times New Roman" w:hAnsi="Times New Roman" w:cs="Times New Roman"/>
          <w:sz w:val="24"/>
        </w:rPr>
        <w:t xml:space="preserve">более высокий уровень выхода. </w:t>
      </w:r>
      <w:r w:rsidRPr="000937E7">
        <w:rPr>
          <w:rFonts w:ascii="Times New Roman" w:hAnsi="Times New Roman" w:cs="Times New Roman"/>
          <w:sz w:val="24"/>
        </w:rPr>
        <w:t>Установлен</w:t>
      </w:r>
      <w:r w:rsidR="00AB6C08" w:rsidRPr="000937E7">
        <w:rPr>
          <w:rFonts w:ascii="Times New Roman" w:hAnsi="Times New Roman" w:cs="Times New Roman"/>
          <w:sz w:val="24"/>
        </w:rPr>
        <w:t xml:space="preserve"> </w:t>
      </w:r>
      <w:r w:rsidR="00BC5096" w:rsidRPr="000937E7">
        <w:rPr>
          <w:rFonts w:ascii="Times New Roman" w:hAnsi="Times New Roman" w:cs="Times New Roman"/>
          <w:sz w:val="24"/>
        </w:rPr>
        <w:t xml:space="preserve">и </w:t>
      </w:r>
      <w:r w:rsidR="00AB6C08" w:rsidRPr="000937E7">
        <w:rPr>
          <w:rFonts w:ascii="Times New Roman" w:hAnsi="Times New Roman" w:cs="Times New Roman"/>
          <w:sz w:val="24"/>
        </w:rPr>
        <w:t>нелинейн</w:t>
      </w:r>
      <w:r w:rsidRPr="000937E7">
        <w:rPr>
          <w:rFonts w:ascii="Times New Roman" w:hAnsi="Times New Roman" w:cs="Times New Roman"/>
          <w:sz w:val="24"/>
        </w:rPr>
        <w:t>ый характер таких процессов</w:t>
      </w:r>
      <w:r w:rsidR="0004421B" w:rsidRPr="000937E7">
        <w:rPr>
          <w:rFonts w:ascii="Times New Roman" w:hAnsi="Times New Roman" w:cs="Times New Roman"/>
          <w:sz w:val="24"/>
        </w:rPr>
        <w:t xml:space="preserve">. </w:t>
      </w:r>
    </w:p>
    <w:p w:rsidR="000B55CD" w:rsidRPr="000937E7" w:rsidRDefault="000B55CD" w:rsidP="00451E4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937E7">
        <w:rPr>
          <w:rFonts w:ascii="Times New Roman" w:hAnsi="Times New Roman" w:cs="Times New Roman"/>
          <w:sz w:val="24"/>
        </w:rPr>
        <w:t xml:space="preserve">После 2016 года абсолютные показатели выхода компаний в целом по Российской Федерации стали устойчиво превышать абсолютные показатели входа. Аналогичная тенденция с этого момента фиксируется и в темпах прироста обоих индикаторов (кроме </w:t>
      </w:r>
      <w:proofErr w:type="spellStart"/>
      <w:r w:rsidRPr="000937E7">
        <w:rPr>
          <w:rFonts w:ascii="Times New Roman" w:hAnsi="Times New Roman" w:cs="Times New Roman"/>
          <w:sz w:val="24"/>
        </w:rPr>
        <w:t>постковидного</w:t>
      </w:r>
      <w:proofErr w:type="spellEnd"/>
      <w:r w:rsidRPr="000937E7">
        <w:rPr>
          <w:rFonts w:ascii="Times New Roman" w:hAnsi="Times New Roman" w:cs="Times New Roman"/>
          <w:sz w:val="24"/>
        </w:rPr>
        <w:t xml:space="preserve"> 2020 года).</w:t>
      </w:r>
    </w:p>
    <w:p w:rsidR="000770EA" w:rsidRPr="000937E7" w:rsidRDefault="00B33865" w:rsidP="00451E47">
      <w:pPr>
        <w:spacing w:after="0" w:line="288" w:lineRule="auto"/>
        <w:ind w:left="-142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B36AF2" w:rsidRPr="000937E7">
        <w:rPr>
          <w:rFonts w:ascii="Times New Roman" w:hAnsi="Times New Roman" w:cs="Times New Roman"/>
          <w:sz w:val="24"/>
        </w:rPr>
        <w:t xml:space="preserve">. </w:t>
      </w:r>
      <w:r w:rsidR="00AB6C08" w:rsidRPr="000937E7">
        <w:rPr>
          <w:rFonts w:ascii="Times New Roman" w:hAnsi="Times New Roman" w:cs="Times New Roman"/>
          <w:sz w:val="24"/>
        </w:rPr>
        <w:t>Пандемический шок Covid-19</w:t>
      </w:r>
      <w:r w:rsidR="000770EA" w:rsidRPr="000937E7">
        <w:rPr>
          <w:rFonts w:ascii="Times New Roman" w:hAnsi="Times New Roman" w:cs="Times New Roman"/>
          <w:b/>
          <w:sz w:val="24"/>
        </w:rPr>
        <w:t xml:space="preserve"> </w:t>
      </w:r>
      <w:r w:rsidR="000770EA" w:rsidRPr="000937E7">
        <w:rPr>
          <w:rFonts w:ascii="Times New Roman" w:hAnsi="Times New Roman" w:cs="Times New Roman"/>
          <w:sz w:val="24"/>
        </w:rPr>
        <w:t>сформировал в российской экономике так называемый «отпугивающий эффект», отразившийся в наиболее острую фазу ограничительных мер как на снижении числа регистрации новых, так и на росте числа ликвидаций действующих компаний, в первую очередь, молодых, не успевших реализовать свой потенциал.</w:t>
      </w:r>
      <w:r w:rsidR="000770EA" w:rsidRPr="000937E7">
        <w:rPr>
          <w:rStyle w:val="a3"/>
          <w:rFonts w:ascii="Times New Roman" w:hAnsi="Times New Roman" w:cs="Times New Roman"/>
          <w:sz w:val="24"/>
        </w:rPr>
        <w:t xml:space="preserve"> </w:t>
      </w:r>
      <w:r w:rsidR="000770EA" w:rsidRPr="000937E7">
        <w:rPr>
          <w:rStyle w:val="a3"/>
          <w:rFonts w:ascii="Times New Roman" w:hAnsi="Times New Roman" w:cs="Times New Roman"/>
          <w:sz w:val="24"/>
        </w:rPr>
        <w:footnoteReference w:id="2"/>
      </w:r>
      <w:r w:rsidR="00CE07D6">
        <w:rPr>
          <w:rFonts w:ascii="Times New Roman" w:hAnsi="Times New Roman" w:cs="Times New Roman"/>
          <w:sz w:val="24"/>
        </w:rPr>
        <w:t xml:space="preserve"> </w:t>
      </w:r>
      <w:proofErr w:type="gramStart"/>
      <w:r w:rsidR="00BE2B1D" w:rsidRPr="000937E7">
        <w:rPr>
          <w:rFonts w:ascii="Times New Roman" w:hAnsi="Times New Roman" w:cs="Times New Roman"/>
          <w:sz w:val="24"/>
        </w:rPr>
        <w:t>При этом</w:t>
      </w:r>
      <w:r w:rsidR="000770EA" w:rsidRPr="000937E7">
        <w:rPr>
          <w:rFonts w:ascii="Times New Roman" w:hAnsi="Times New Roman" w:cs="Times New Roman"/>
          <w:sz w:val="24"/>
        </w:rPr>
        <w:t xml:space="preserve"> пандемия, став </w:t>
      </w:r>
      <w:r w:rsidR="00DC1B14">
        <w:rPr>
          <w:rFonts w:ascii="Times New Roman" w:hAnsi="Times New Roman" w:cs="Times New Roman"/>
          <w:sz w:val="24"/>
        </w:rPr>
        <w:t>ключевой</w:t>
      </w:r>
      <w:r w:rsidR="000770EA" w:rsidRPr="000937E7">
        <w:rPr>
          <w:rFonts w:ascii="Times New Roman" w:hAnsi="Times New Roman" w:cs="Times New Roman"/>
          <w:sz w:val="24"/>
        </w:rPr>
        <w:t xml:space="preserve"> причиной выхода из бизнеса в 2020 году в российской экономике, сформировала, по мнению предпринимателей, и новые возможности для развития бизнеса</w:t>
      </w:r>
      <w:r w:rsidR="000770EA" w:rsidRPr="000937E7">
        <w:rPr>
          <w:rStyle w:val="a3"/>
          <w:rFonts w:ascii="Times New Roman" w:hAnsi="Times New Roman" w:cs="Times New Roman"/>
          <w:sz w:val="24"/>
        </w:rPr>
        <w:footnoteReference w:id="3"/>
      </w:r>
      <w:r w:rsidR="00C96D26" w:rsidRPr="000937E7">
        <w:rPr>
          <w:rFonts w:ascii="Times New Roman" w:hAnsi="Times New Roman" w:cs="Times New Roman"/>
          <w:sz w:val="24"/>
        </w:rPr>
        <w:t>.</w:t>
      </w:r>
      <w:r w:rsidR="00705827" w:rsidRPr="000937E7">
        <w:rPr>
          <w:rFonts w:ascii="Times New Roman" w:hAnsi="Times New Roman" w:cs="Times New Roman"/>
          <w:sz w:val="24"/>
        </w:rPr>
        <w:t xml:space="preserve"> </w:t>
      </w:r>
      <w:r w:rsidR="00C96D26" w:rsidRPr="000937E7">
        <w:rPr>
          <w:rFonts w:ascii="Times New Roman" w:hAnsi="Times New Roman" w:cs="Times New Roman"/>
          <w:sz w:val="24"/>
        </w:rPr>
        <w:t>Э</w:t>
      </w:r>
      <w:r w:rsidR="00705827" w:rsidRPr="000937E7">
        <w:rPr>
          <w:rFonts w:ascii="Times New Roman" w:hAnsi="Times New Roman" w:cs="Times New Roman"/>
          <w:sz w:val="24"/>
        </w:rPr>
        <w:t>то</w:t>
      </w:r>
      <w:r w:rsidR="00C96D26" w:rsidRPr="000937E7">
        <w:rPr>
          <w:rFonts w:ascii="Times New Roman" w:hAnsi="Times New Roman" w:cs="Times New Roman"/>
          <w:sz w:val="24"/>
        </w:rPr>
        <w:t xml:space="preserve"> обстоятельство </w:t>
      </w:r>
      <w:r w:rsidR="00F94CE0" w:rsidRPr="000937E7">
        <w:rPr>
          <w:rFonts w:ascii="Times New Roman" w:hAnsi="Times New Roman" w:cs="Times New Roman"/>
          <w:sz w:val="24"/>
        </w:rPr>
        <w:t xml:space="preserve">способно </w:t>
      </w:r>
      <w:r w:rsidR="00C96D26" w:rsidRPr="000937E7">
        <w:rPr>
          <w:rFonts w:ascii="Times New Roman" w:hAnsi="Times New Roman" w:cs="Times New Roman"/>
          <w:sz w:val="24"/>
        </w:rPr>
        <w:t xml:space="preserve">косвенно </w:t>
      </w:r>
      <w:r w:rsidR="00705827" w:rsidRPr="000937E7">
        <w:rPr>
          <w:rFonts w:ascii="Times New Roman" w:hAnsi="Times New Roman" w:cs="Times New Roman"/>
          <w:sz w:val="24"/>
        </w:rPr>
        <w:t xml:space="preserve">объяснять </w:t>
      </w:r>
      <w:r w:rsidR="00C96D26" w:rsidRPr="000937E7">
        <w:rPr>
          <w:rFonts w:ascii="Times New Roman" w:hAnsi="Times New Roman" w:cs="Times New Roman"/>
          <w:sz w:val="24"/>
        </w:rPr>
        <w:t xml:space="preserve">наметившийся с 2020 года </w:t>
      </w:r>
      <w:r w:rsidR="00705827" w:rsidRPr="000937E7">
        <w:rPr>
          <w:rFonts w:ascii="Times New Roman" w:hAnsi="Times New Roman" w:cs="Times New Roman"/>
          <w:sz w:val="24"/>
        </w:rPr>
        <w:t xml:space="preserve">рост </w:t>
      </w:r>
      <w:r w:rsidR="00C96D26" w:rsidRPr="000937E7">
        <w:rPr>
          <w:rFonts w:ascii="Times New Roman" w:hAnsi="Times New Roman" w:cs="Times New Roman"/>
          <w:sz w:val="24"/>
        </w:rPr>
        <w:t xml:space="preserve">относительного </w:t>
      </w:r>
      <w:r w:rsidR="00705827" w:rsidRPr="000937E7">
        <w:rPr>
          <w:rFonts w:ascii="Times New Roman" w:hAnsi="Times New Roman" w:cs="Times New Roman"/>
          <w:sz w:val="24"/>
        </w:rPr>
        <w:t xml:space="preserve">числа </w:t>
      </w:r>
      <w:r w:rsidR="00F94CE0" w:rsidRPr="000937E7">
        <w:rPr>
          <w:rFonts w:ascii="Times New Roman" w:hAnsi="Times New Roman" w:cs="Times New Roman"/>
          <w:sz w:val="24"/>
        </w:rPr>
        <w:t xml:space="preserve">регистраций </w:t>
      </w:r>
      <w:r w:rsidR="00C96D26" w:rsidRPr="000937E7">
        <w:rPr>
          <w:rFonts w:ascii="Times New Roman" w:hAnsi="Times New Roman" w:cs="Times New Roman"/>
          <w:sz w:val="24"/>
        </w:rPr>
        <w:t xml:space="preserve">новых фирм, вопреки тенденциям, </w:t>
      </w:r>
      <w:r w:rsidR="00987D1B" w:rsidRPr="000937E7">
        <w:rPr>
          <w:rFonts w:ascii="Times New Roman" w:hAnsi="Times New Roman" w:cs="Times New Roman"/>
          <w:sz w:val="24"/>
        </w:rPr>
        <w:t xml:space="preserve">наблюдаемым </w:t>
      </w:r>
      <w:r w:rsidR="00C96D26" w:rsidRPr="000937E7">
        <w:rPr>
          <w:rFonts w:ascii="Times New Roman" w:hAnsi="Times New Roman" w:cs="Times New Roman"/>
          <w:sz w:val="24"/>
        </w:rPr>
        <w:t xml:space="preserve">в российских регионах </w:t>
      </w:r>
      <w:r w:rsidR="00987D1B" w:rsidRPr="000937E7">
        <w:rPr>
          <w:rFonts w:ascii="Times New Roman" w:hAnsi="Times New Roman" w:cs="Times New Roman"/>
          <w:sz w:val="24"/>
        </w:rPr>
        <w:t xml:space="preserve">в </w:t>
      </w:r>
      <w:r w:rsidR="00C96D26" w:rsidRPr="000937E7">
        <w:rPr>
          <w:rFonts w:ascii="Times New Roman" w:hAnsi="Times New Roman" w:cs="Times New Roman"/>
          <w:sz w:val="24"/>
        </w:rPr>
        <w:t>предыдущие 8 лет.</w:t>
      </w:r>
      <w:proofErr w:type="gramEnd"/>
    </w:p>
    <w:p w:rsidR="00BA4611" w:rsidRPr="000937E7" w:rsidRDefault="00B33865" w:rsidP="00451E4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AC3882" w:rsidRPr="000937E7">
        <w:rPr>
          <w:rFonts w:ascii="Times New Roman" w:hAnsi="Times New Roman" w:cs="Times New Roman"/>
          <w:sz w:val="24"/>
        </w:rPr>
        <w:t>. Отраслями экономики с наибольшей динамикой входа и выхода компаний в периоды 2012-2016</w:t>
      </w:r>
      <w:r w:rsidR="000937E7">
        <w:rPr>
          <w:rFonts w:ascii="Times New Roman" w:hAnsi="Times New Roman" w:cs="Times New Roman"/>
          <w:sz w:val="24"/>
        </w:rPr>
        <w:t xml:space="preserve"> гг.</w:t>
      </w:r>
      <w:r w:rsidR="00AC3882" w:rsidRPr="000937E7">
        <w:rPr>
          <w:rFonts w:ascii="Times New Roman" w:hAnsi="Times New Roman" w:cs="Times New Roman"/>
          <w:sz w:val="24"/>
        </w:rPr>
        <w:t xml:space="preserve"> и 2017-2021</w:t>
      </w:r>
      <w:r w:rsidR="000937E7">
        <w:rPr>
          <w:rFonts w:ascii="Times New Roman" w:hAnsi="Times New Roman" w:cs="Times New Roman"/>
          <w:sz w:val="24"/>
        </w:rPr>
        <w:t xml:space="preserve"> гг.</w:t>
      </w:r>
      <w:r w:rsidR="00AC3882" w:rsidRPr="000937E7">
        <w:rPr>
          <w:rFonts w:ascii="Times New Roman" w:hAnsi="Times New Roman" w:cs="Times New Roman"/>
          <w:sz w:val="24"/>
        </w:rPr>
        <w:t xml:space="preserve"> стали строительство, оптовая и розничная торговля, финансовая деятельность. При этом все отрасли</w:t>
      </w:r>
      <w:r w:rsidR="000937E7">
        <w:rPr>
          <w:rFonts w:ascii="Times New Roman" w:hAnsi="Times New Roman" w:cs="Times New Roman"/>
          <w:sz w:val="24"/>
        </w:rPr>
        <w:t xml:space="preserve"> экономики</w:t>
      </w:r>
      <w:r w:rsidR="00AC3882" w:rsidRPr="000937E7">
        <w:rPr>
          <w:rFonts w:ascii="Times New Roman" w:hAnsi="Times New Roman" w:cs="Times New Roman"/>
          <w:sz w:val="24"/>
        </w:rPr>
        <w:t xml:space="preserve"> (кроме здравоохранения и </w:t>
      </w:r>
      <w:r w:rsidR="00AC3882" w:rsidRPr="000937E7">
        <w:rPr>
          <w:rFonts w:ascii="Times New Roman" w:hAnsi="Times New Roman" w:cs="Times New Roman"/>
          <w:sz w:val="24"/>
        </w:rPr>
        <w:lastRenderedPageBreak/>
        <w:t>предоставления социальных услуг) с 2017 года стали демонстрировать отрицательную чистую динамику с ее пиком в 2019-2020 годах, незначительно отыграв падение в 2021 году.</w:t>
      </w:r>
    </w:p>
    <w:p w:rsidR="0027600C" w:rsidRPr="000937E7" w:rsidRDefault="00B33865" w:rsidP="00451E4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27600C" w:rsidRPr="000937E7">
        <w:rPr>
          <w:rFonts w:ascii="Times New Roman" w:hAnsi="Times New Roman" w:cs="Times New Roman"/>
          <w:sz w:val="24"/>
        </w:rPr>
        <w:t xml:space="preserve">. Установлено (на примере выборки </w:t>
      </w:r>
      <w:r w:rsidR="006C5F64" w:rsidRPr="000937E7">
        <w:rPr>
          <w:rFonts w:ascii="Times New Roman" w:hAnsi="Times New Roman" w:cs="Times New Roman"/>
          <w:sz w:val="24"/>
        </w:rPr>
        <w:t xml:space="preserve">из 274 крупнейших </w:t>
      </w:r>
      <w:r w:rsidR="0027600C" w:rsidRPr="000937E7">
        <w:rPr>
          <w:rFonts w:ascii="Times New Roman" w:hAnsi="Times New Roman" w:cs="Times New Roman"/>
          <w:sz w:val="24"/>
        </w:rPr>
        <w:t xml:space="preserve">компаний российской молочной промышленности), что </w:t>
      </w:r>
      <w:r w:rsidR="00595A55" w:rsidRPr="000937E7">
        <w:rPr>
          <w:rFonts w:ascii="Times New Roman" w:hAnsi="Times New Roman" w:cs="Times New Roman"/>
          <w:sz w:val="24"/>
        </w:rPr>
        <w:t xml:space="preserve">в период 2017–2020 гг. </w:t>
      </w:r>
      <w:r w:rsidR="0027600C" w:rsidRPr="000937E7">
        <w:rPr>
          <w:rFonts w:ascii="Times New Roman" w:hAnsi="Times New Roman" w:cs="Times New Roman"/>
          <w:sz w:val="24"/>
        </w:rPr>
        <w:t>совокупная динамика</w:t>
      </w:r>
      <w:r w:rsidR="00AB6C08" w:rsidRPr="000937E7">
        <w:rPr>
          <w:rFonts w:ascii="Times New Roman" w:hAnsi="Times New Roman" w:cs="Times New Roman"/>
          <w:sz w:val="24"/>
        </w:rPr>
        <w:t xml:space="preserve"> входа и выхода,</w:t>
      </w:r>
      <w:r w:rsidR="0027600C" w:rsidRPr="000937E7">
        <w:rPr>
          <w:rFonts w:ascii="Times New Roman" w:hAnsi="Times New Roman" w:cs="Times New Roman"/>
          <w:sz w:val="24"/>
        </w:rPr>
        <w:t xml:space="preserve"> выраженная через коэффициент чистого входа,</w:t>
      </w:r>
      <w:r w:rsidR="00CE07D6">
        <w:rPr>
          <w:rFonts w:ascii="Times New Roman" w:hAnsi="Times New Roman" w:cs="Times New Roman"/>
          <w:sz w:val="24"/>
        </w:rPr>
        <w:t xml:space="preserve"> </w:t>
      </w:r>
      <w:r w:rsidR="00AB6C08" w:rsidRPr="000937E7">
        <w:rPr>
          <w:rFonts w:ascii="Times New Roman" w:hAnsi="Times New Roman" w:cs="Times New Roman"/>
          <w:sz w:val="24"/>
        </w:rPr>
        <w:t>наряду с уровнем промышленной концентрации</w:t>
      </w:r>
      <w:r w:rsidR="00194314">
        <w:rPr>
          <w:rFonts w:ascii="Times New Roman" w:hAnsi="Times New Roman" w:cs="Times New Roman"/>
          <w:sz w:val="24"/>
        </w:rPr>
        <w:t xml:space="preserve"> </w:t>
      </w:r>
      <w:r w:rsidR="0027600C" w:rsidRPr="000937E7">
        <w:rPr>
          <w:rFonts w:ascii="Times New Roman" w:hAnsi="Times New Roman" w:cs="Times New Roman"/>
          <w:sz w:val="24"/>
        </w:rPr>
        <w:t>выступа</w:t>
      </w:r>
      <w:r w:rsidR="006C5F64" w:rsidRPr="000937E7">
        <w:rPr>
          <w:rFonts w:ascii="Times New Roman" w:hAnsi="Times New Roman" w:cs="Times New Roman"/>
          <w:sz w:val="24"/>
        </w:rPr>
        <w:t>л</w:t>
      </w:r>
      <w:r w:rsidR="00194314">
        <w:rPr>
          <w:rFonts w:ascii="Times New Roman" w:hAnsi="Times New Roman" w:cs="Times New Roman"/>
          <w:sz w:val="24"/>
        </w:rPr>
        <w:t>а значимым фактором</w:t>
      </w:r>
      <w:r w:rsidR="00AB6C08" w:rsidRPr="000937E7">
        <w:rPr>
          <w:rFonts w:ascii="Times New Roman" w:hAnsi="Times New Roman" w:cs="Times New Roman"/>
          <w:sz w:val="24"/>
        </w:rPr>
        <w:t xml:space="preserve"> </w:t>
      </w:r>
      <w:r w:rsidR="0027600C" w:rsidRPr="000937E7">
        <w:rPr>
          <w:rFonts w:ascii="Times New Roman" w:hAnsi="Times New Roman" w:cs="Times New Roman"/>
          <w:sz w:val="24"/>
        </w:rPr>
        <w:t>изменения</w:t>
      </w:r>
      <w:r w:rsidR="00AB6C08" w:rsidRPr="000937E7">
        <w:rPr>
          <w:rFonts w:ascii="Times New Roman" w:hAnsi="Times New Roman" w:cs="Times New Roman"/>
          <w:sz w:val="24"/>
        </w:rPr>
        <w:t xml:space="preserve"> </w:t>
      </w:r>
      <w:r w:rsidR="0027600C" w:rsidRPr="000937E7">
        <w:rPr>
          <w:rFonts w:ascii="Times New Roman" w:hAnsi="Times New Roman" w:cs="Times New Roman"/>
          <w:sz w:val="24"/>
        </w:rPr>
        <w:t xml:space="preserve">абсолютных значений </w:t>
      </w:r>
      <w:r w:rsidR="00AB6C08" w:rsidRPr="000937E7">
        <w:rPr>
          <w:rFonts w:ascii="Times New Roman" w:hAnsi="Times New Roman" w:cs="Times New Roman"/>
          <w:sz w:val="24"/>
        </w:rPr>
        <w:t xml:space="preserve">валовой прибыли компаний, </w:t>
      </w:r>
      <w:r w:rsidR="0027600C" w:rsidRPr="000937E7">
        <w:rPr>
          <w:rFonts w:ascii="Times New Roman" w:hAnsi="Times New Roman" w:cs="Times New Roman"/>
          <w:sz w:val="24"/>
        </w:rPr>
        <w:t xml:space="preserve">а также показателей производительности труда и фондоотдачи. </w:t>
      </w:r>
      <w:r w:rsidR="00AB6C08" w:rsidRPr="000937E7">
        <w:rPr>
          <w:rFonts w:ascii="Times New Roman" w:hAnsi="Times New Roman" w:cs="Times New Roman"/>
          <w:sz w:val="24"/>
        </w:rPr>
        <w:t>При этом влияние отраслевой динамики на показатели</w:t>
      </w:r>
      <w:r w:rsidR="00E41935" w:rsidRPr="000937E7">
        <w:rPr>
          <w:rFonts w:ascii="Times New Roman" w:hAnsi="Times New Roman" w:cs="Times New Roman"/>
          <w:sz w:val="24"/>
        </w:rPr>
        <w:t xml:space="preserve"> эффективности разнонаправлено – </w:t>
      </w:r>
      <w:r w:rsidR="00AB6C08" w:rsidRPr="000937E7">
        <w:rPr>
          <w:rFonts w:ascii="Times New Roman" w:hAnsi="Times New Roman" w:cs="Times New Roman"/>
          <w:sz w:val="24"/>
        </w:rPr>
        <w:t xml:space="preserve">отрицательно </w:t>
      </w:r>
      <w:r w:rsidR="0027600C" w:rsidRPr="000937E7">
        <w:rPr>
          <w:rFonts w:ascii="Times New Roman" w:hAnsi="Times New Roman" w:cs="Times New Roman"/>
          <w:sz w:val="24"/>
        </w:rPr>
        <w:t>для</w:t>
      </w:r>
      <w:r w:rsidR="00AB6C08" w:rsidRPr="000937E7">
        <w:rPr>
          <w:rFonts w:ascii="Times New Roman" w:hAnsi="Times New Roman" w:cs="Times New Roman"/>
          <w:sz w:val="24"/>
        </w:rPr>
        <w:t xml:space="preserve"> производительности труда, и положительно </w:t>
      </w:r>
      <w:r w:rsidR="0027600C" w:rsidRPr="000937E7">
        <w:rPr>
          <w:rFonts w:ascii="Times New Roman" w:hAnsi="Times New Roman" w:cs="Times New Roman"/>
          <w:sz w:val="24"/>
        </w:rPr>
        <w:t>для</w:t>
      </w:r>
      <w:r w:rsidR="00AB6C08" w:rsidRPr="000937E7">
        <w:rPr>
          <w:rFonts w:ascii="Times New Roman" w:hAnsi="Times New Roman" w:cs="Times New Roman"/>
          <w:sz w:val="24"/>
        </w:rPr>
        <w:t xml:space="preserve"> эффективности использо</w:t>
      </w:r>
      <w:r w:rsidR="0027600C" w:rsidRPr="000937E7">
        <w:rPr>
          <w:rFonts w:ascii="Times New Roman" w:hAnsi="Times New Roman" w:cs="Times New Roman"/>
          <w:sz w:val="24"/>
        </w:rPr>
        <w:t xml:space="preserve">вания основного капитала. </w:t>
      </w:r>
    </w:p>
    <w:p w:rsidR="00BA4611" w:rsidRPr="000937E7" w:rsidRDefault="00B33865" w:rsidP="00451E47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>9</w:t>
      </w:r>
      <w:r w:rsidR="00BA4611" w:rsidRPr="000937E7">
        <w:rPr>
          <w:rFonts w:ascii="Times New Roman" w:hAnsi="Times New Roman" w:cs="Times New Roman"/>
          <w:sz w:val="24"/>
        </w:rPr>
        <w:t xml:space="preserve">. </w:t>
      </w:r>
      <w:r w:rsidR="00B74053" w:rsidRPr="000937E7">
        <w:rPr>
          <w:rFonts w:ascii="Times New Roman" w:hAnsi="Times New Roman" w:cs="Times New Roman"/>
          <w:sz w:val="24"/>
        </w:rPr>
        <w:t>Результаты и</w:t>
      </w:r>
      <w:r w:rsidR="00BA4611" w:rsidRPr="000937E7">
        <w:rPr>
          <w:rFonts w:ascii="Times New Roman" w:hAnsi="Times New Roman" w:cs="Times New Roman"/>
          <w:sz w:val="24"/>
        </w:rPr>
        <w:t>сследовани</w:t>
      </w:r>
      <w:r w:rsidR="00B74053" w:rsidRPr="000937E7">
        <w:rPr>
          <w:rFonts w:ascii="Times New Roman" w:hAnsi="Times New Roman" w:cs="Times New Roman"/>
          <w:sz w:val="24"/>
        </w:rPr>
        <w:t>я</w:t>
      </w:r>
      <w:r w:rsidR="00BA4611" w:rsidRPr="000937E7">
        <w:rPr>
          <w:rFonts w:ascii="Times New Roman" w:hAnsi="Times New Roman" w:cs="Times New Roman"/>
          <w:sz w:val="24"/>
        </w:rPr>
        <w:t xml:space="preserve"> </w:t>
      </w:r>
      <w:r w:rsidR="00B74053" w:rsidRPr="000937E7">
        <w:rPr>
          <w:rFonts w:ascii="Times New Roman" w:hAnsi="Times New Roman" w:cs="Times New Roman"/>
          <w:sz w:val="24"/>
        </w:rPr>
        <w:t>процессов</w:t>
      </w:r>
      <w:r w:rsidR="00BA4611" w:rsidRPr="000937E7">
        <w:rPr>
          <w:rFonts w:ascii="Times New Roman" w:hAnsi="Times New Roman" w:cs="Times New Roman"/>
          <w:sz w:val="24"/>
        </w:rPr>
        <w:t xml:space="preserve"> выживания новых компаний российской обрабатывающей промышленности (выборка</w:t>
      </w:r>
      <w:r w:rsidR="00B74053" w:rsidRPr="000937E7">
        <w:rPr>
          <w:rFonts w:ascii="Times New Roman" w:hAnsi="Times New Roman" w:cs="Times New Roman"/>
          <w:sz w:val="24"/>
        </w:rPr>
        <w:t xml:space="preserve"> из</w:t>
      </w:r>
      <w:r w:rsidR="00656F09" w:rsidRPr="000937E7">
        <w:rPr>
          <w:rFonts w:ascii="Times New Roman" w:hAnsi="Times New Roman" w:cs="Times New Roman"/>
          <w:sz w:val="24"/>
        </w:rPr>
        <w:t xml:space="preserve"> </w:t>
      </w:r>
      <w:r w:rsidR="00BA4611" w:rsidRPr="000937E7">
        <w:rPr>
          <w:rFonts w:ascii="Times New Roman" w:hAnsi="Times New Roman" w:cs="Times New Roman"/>
          <w:sz w:val="24"/>
        </w:rPr>
        <w:t>27</w:t>
      </w:r>
      <w:r w:rsidR="00656F09" w:rsidRPr="000937E7">
        <w:rPr>
          <w:rFonts w:ascii="Times New Roman" w:hAnsi="Times New Roman" w:cs="Times New Roman"/>
          <w:sz w:val="24"/>
        </w:rPr>
        <w:t>,4</w:t>
      </w:r>
      <w:r w:rsidR="00BA4611" w:rsidRPr="000937E7">
        <w:rPr>
          <w:rFonts w:ascii="Times New Roman" w:hAnsi="Times New Roman" w:cs="Times New Roman"/>
          <w:sz w:val="24"/>
        </w:rPr>
        <w:t xml:space="preserve"> тыс. компаний, зарегистрированных в течение 2017 года) </w:t>
      </w:r>
      <w:r w:rsidR="00987D1B" w:rsidRPr="000937E7">
        <w:rPr>
          <w:rFonts w:ascii="Times New Roman" w:hAnsi="Times New Roman" w:cs="Times New Roman"/>
          <w:sz w:val="24"/>
        </w:rPr>
        <w:t>свидетельству</w:t>
      </w:r>
      <w:r w:rsidR="00B74053" w:rsidRPr="000937E7">
        <w:rPr>
          <w:rFonts w:ascii="Times New Roman" w:hAnsi="Times New Roman" w:cs="Times New Roman"/>
          <w:sz w:val="24"/>
        </w:rPr>
        <w:t>ю</w:t>
      </w:r>
      <w:r w:rsidR="00987D1B" w:rsidRPr="000937E7">
        <w:rPr>
          <w:rFonts w:ascii="Times New Roman" w:hAnsi="Times New Roman" w:cs="Times New Roman"/>
          <w:sz w:val="24"/>
        </w:rPr>
        <w:t>т</w:t>
      </w:r>
      <w:r w:rsidR="00BA4611" w:rsidRPr="000937E7">
        <w:rPr>
          <w:rFonts w:ascii="Times New Roman" w:hAnsi="Times New Roman" w:cs="Times New Roman"/>
          <w:sz w:val="24"/>
        </w:rPr>
        <w:t>, что экспоненциальный рост количества выходов из отрасли в рассматриваемой выборке начинается в период 0,5 лет и продолжается</w:t>
      </w:r>
      <w:r w:rsidR="00BC5096" w:rsidRPr="000937E7">
        <w:rPr>
          <w:rFonts w:ascii="Times New Roman" w:hAnsi="Times New Roman" w:cs="Times New Roman"/>
          <w:sz w:val="24"/>
        </w:rPr>
        <w:t xml:space="preserve"> в среднем</w:t>
      </w:r>
      <w:r w:rsidR="00BA4611" w:rsidRPr="000937E7">
        <w:rPr>
          <w:rFonts w:ascii="Times New Roman" w:hAnsi="Times New Roman" w:cs="Times New Roman"/>
          <w:sz w:val="24"/>
        </w:rPr>
        <w:t xml:space="preserve"> до 1,5 </w:t>
      </w:r>
      <w:r w:rsidR="00987D1B" w:rsidRPr="000937E7">
        <w:rPr>
          <w:rFonts w:ascii="Times New Roman" w:hAnsi="Times New Roman" w:cs="Times New Roman"/>
          <w:sz w:val="24"/>
        </w:rPr>
        <w:t>лет</w:t>
      </w:r>
      <w:r w:rsidR="00BA4611" w:rsidRPr="000937E7">
        <w:rPr>
          <w:rFonts w:ascii="Times New Roman" w:hAnsi="Times New Roman" w:cs="Times New Roman"/>
          <w:sz w:val="24"/>
        </w:rPr>
        <w:t xml:space="preserve">. </w:t>
      </w:r>
      <w:r w:rsidR="00B74053" w:rsidRPr="000937E7">
        <w:rPr>
          <w:rFonts w:ascii="Times New Roman" w:hAnsi="Times New Roman" w:cs="Times New Roman"/>
          <w:sz w:val="24"/>
        </w:rPr>
        <w:t xml:space="preserve">Средний показатель выживаемости в исходной выборке на начало 2022 года составил </w:t>
      </w:r>
      <w:r w:rsidR="00DC1B14">
        <w:rPr>
          <w:rFonts w:ascii="Times New Roman" w:hAnsi="Times New Roman" w:cs="Times New Roman"/>
          <w:sz w:val="24"/>
        </w:rPr>
        <w:t>около 68</w:t>
      </w:r>
      <w:r w:rsidR="00B74053" w:rsidRPr="000937E7">
        <w:rPr>
          <w:rFonts w:ascii="Times New Roman" w:hAnsi="Times New Roman" w:cs="Times New Roman"/>
          <w:sz w:val="24"/>
        </w:rPr>
        <w:t xml:space="preserve">%. </w:t>
      </w:r>
      <w:r w:rsidR="00BA4611" w:rsidRPr="000937E7">
        <w:rPr>
          <w:rFonts w:ascii="Times New Roman" w:hAnsi="Times New Roman" w:cs="Times New Roman"/>
          <w:sz w:val="24"/>
        </w:rPr>
        <w:t>При этом наибольшее число ликвидаций при</w:t>
      </w:r>
      <w:r w:rsidR="006C5F64" w:rsidRPr="000937E7">
        <w:rPr>
          <w:rFonts w:ascii="Times New Roman" w:hAnsi="Times New Roman" w:cs="Times New Roman"/>
          <w:sz w:val="24"/>
        </w:rPr>
        <w:t>шлось</w:t>
      </w:r>
      <w:r w:rsidR="00BA4611" w:rsidRPr="000937E7">
        <w:rPr>
          <w:rFonts w:ascii="Times New Roman" w:hAnsi="Times New Roman" w:cs="Times New Roman"/>
          <w:sz w:val="24"/>
        </w:rPr>
        <w:t xml:space="preserve"> на второй год жизненного цикла </w:t>
      </w:r>
      <w:r w:rsidR="00987D1B" w:rsidRPr="000937E7">
        <w:rPr>
          <w:rFonts w:ascii="Times New Roman" w:hAnsi="Times New Roman" w:cs="Times New Roman"/>
          <w:sz w:val="24"/>
        </w:rPr>
        <w:t xml:space="preserve">компаний, после </w:t>
      </w:r>
      <w:r w:rsidR="00194314">
        <w:rPr>
          <w:rFonts w:ascii="Times New Roman" w:hAnsi="Times New Roman" w:cs="Times New Roman"/>
          <w:sz w:val="24"/>
        </w:rPr>
        <w:t>которого</w:t>
      </w:r>
      <w:r w:rsidR="00987D1B" w:rsidRPr="000937E7">
        <w:rPr>
          <w:rFonts w:ascii="Times New Roman" w:hAnsi="Times New Roman" w:cs="Times New Roman"/>
          <w:sz w:val="24"/>
        </w:rPr>
        <w:t xml:space="preserve"> число</w:t>
      </w:r>
      <w:r w:rsidR="00BA4611" w:rsidRPr="000937E7">
        <w:rPr>
          <w:rFonts w:ascii="Times New Roman" w:hAnsi="Times New Roman" w:cs="Times New Roman"/>
          <w:sz w:val="24"/>
        </w:rPr>
        <w:t xml:space="preserve"> ликвидаций снижается, демонстрируя пики снижения </w:t>
      </w:r>
      <w:r w:rsidR="00194314">
        <w:rPr>
          <w:rFonts w:ascii="Times New Roman" w:hAnsi="Times New Roman" w:cs="Times New Roman"/>
          <w:sz w:val="24"/>
        </w:rPr>
        <w:t xml:space="preserve">на </w:t>
      </w:r>
      <w:r w:rsidR="00987D1B" w:rsidRPr="000937E7">
        <w:rPr>
          <w:rFonts w:ascii="Times New Roman" w:hAnsi="Times New Roman" w:cs="Times New Roman"/>
          <w:sz w:val="24"/>
        </w:rPr>
        <w:t>четвертом</w:t>
      </w:r>
      <w:r w:rsidR="00BA4611" w:rsidRPr="000937E7">
        <w:rPr>
          <w:rFonts w:ascii="Times New Roman" w:hAnsi="Times New Roman" w:cs="Times New Roman"/>
          <w:sz w:val="24"/>
        </w:rPr>
        <w:t xml:space="preserve"> </w:t>
      </w:r>
      <w:r w:rsidR="00987D1B" w:rsidRPr="000937E7">
        <w:rPr>
          <w:rFonts w:ascii="Times New Roman" w:hAnsi="Times New Roman" w:cs="Times New Roman"/>
          <w:sz w:val="24"/>
        </w:rPr>
        <w:t>году</w:t>
      </w:r>
      <w:r w:rsidR="00BA4611" w:rsidRPr="000937E7">
        <w:rPr>
          <w:rFonts w:ascii="Times New Roman" w:hAnsi="Times New Roman" w:cs="Times New Roman"/>
          <w:sz w:val="24"/>
        </w:rPr>
        <w:t xml:space="preserve"> с момента основания компаний. </w:t>
      </w:r>
      <w:r w:rsidR="00656F09" w:rsidRPr="000937E7">
        <w:rPr>
          <w:rFonts w:ascii="Times New Roman" w:hAnsi="Times New Roman" w:cs="Times New Roman"/>
          <w:sz w:val="24"/>
        </w:rPr>
        <w:t>Н</w:t>
      </w:r>
      <w:r w:rsidR="00BA4611" w:rsidRPr="000937E7">
        <w:rPr>
          <w:rFonts w:ascii="Times New Roman" w:hAnsi="Times New Roman" w:cs="Times New Roman"/>
          <w:sz w:val="24"/>
        </w:rPr>
        <w:t>аибольший процент выживших</w:t>
      </w:r>
      <w:r w:rsidR="00656F09" w:rsidRPr="000937E7">
        <w:rPr>
          <w:rFonts w:ascii="Times New Roman" w:hAnsi="Times New Roman" w:cs="Times New Roman"/>
          <w:sz w:val="24"/>
        </w:rPr>
        <w:t xml:space="preserve"> компаний</w:t>
      </w:r>
      <w:r w:rsidR="006C5F64" w:rsidRPr="000937E7">
        <w:rPr>
          <w:rFonts w:ascii="Times New Roman" w:hAnsi="Times New Roman" w:cs="Times New Roman"/>
          <w:sz w:val="24"/>
        </w:rPr>
        <w:t xml:space="preserve"> (вошедших в выборку)</w:t>
      </w:r>
      <w:r w:rsidR="00BA4611" w:rsidRPr="000937E7">
        <w:rPr>
          <w:rFonts w:ascii="Times New Roman" w:hAnsi="Times New Roman" w:cs="Times New Roman"/>
          <w:sz w:val="24"/>
        </w:rPr>
        <w:t xml:space="preserve"> приходи</w:t>
      </w:r>
      <w:r w:rsidR="00987D1B" w:rsidRPr="000937E7">
        <w:rPr>
          <w:rFonts w:ascii="Times New Roman" w:hAnsi="Times New Roman" w:cs="Times New Roman"/>
          <w:sz w:val="24"/>
        </w:rPr>
        <w:t>лся</w:t>
      </w:r>
      <w:r w:rsidR="00BA4611" w:rsidRPr="000937E7">
        <w:rPr>
          <w:rFonts w:ascii="Times New Roman" w:hAnsi="Times New Roman" w:cs="Times New Roman"/>
          <w:sz w:val="24"/>
        </w:rPr>
        <w:t xml:space="preserve"> на Северо-Кавказский федеральный округ, а наименьший – на </w:t>
      </w:r>
      <w:r w:rsidR="00656F09" w:rsidRPr="000937E7">
        <w:rPr>
          <w:rFonts w:ascii="Times New Roman" w:hAnsi="Times New Roman" w:cs="Times New Roman"/>
          <w:sz w:val="24"/>
        </w:rPr>
        <w:t>Ц</w:t>
      </w:r>
      <w:r w:rsidR="00BA4611" w:rsidRPr="000937E7">
        <w:rPr>
          <w:rFonts w:ascii="Times New Roman" w:hAnsi="Times New Roman" w:cs="Times New Roman"/>
          <w:sz w:val="24"/>
        </w:rPr>
        <w:t xml:space="preserve">ентральный федеральный округ. </w:t>
      </w:r>
      <w:r w:rsidR="00BA4611" w:rsidRPr="000937E7">
        <w:rPr>
          <w:rFonts w:ascii="Times New Roman" w:hAnsi="Times New Roman" w:cs="Times New Roman"/>
          <w:sz w:val="24"/>
          <w:szCs w:val="28"/>
        </w:rPr>
        <w:t xml:space="preserve">Выдвинуты и тестируются соответствующие гипотезы о влиянии </w:t>
      </w:r>
      <w:r w:rsidR="00987D1B" w:rsidRPr="000937E7">
        <w:rPr>
          <w:rFonts w:ascii="Times New Roman" w:hAnsi="Times New Roman" w:cs="Times New Roman"/>
          <w:sz w:val="24"/>
          <w:szCs w:val="28"/>
        </w:rPr>
        <w:t>региональной специфики</w:t>
      </w:r>
      <w:r w:rsidR="00BA4611" w:rsidRPr="000937E7">
        <w:rPr>
          <w:rFonts w:ascii="Times New Roman" w:hAnsi="Times New Roman" w:cs="Times New Roman"/>
          <w:sz w:val="24"/>
          <w:szCs w:val="28"/>
        </w:rPr>
        <w:t xml:space="preserve"> на выживаемость компаний</w:t>
      </w:r>
      <w:r w:rsidR="00656F09" w:rsidRPr="000937E7">
        <w:rPr>
          <w:rFonts w:ascii="Times New Roman" w:hAnsi="Times New Roman" w:cs="Times New Roman"/>
          <w:sz w:val="24"/>
          <w:szCs w:val="28"/>
        </w:rPr>
        <w:t>.</w:t>
      </w:r>
    </w:p>
    <w:p w:rsidR="000937E7" w:rsidRPr="00EB1FCB" w:rsidRDefault="002C48B0" w:rsidP="00194314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0937E7">
        <w:rPr>
          <w:rFonts w:ascii="Times New Roman" w:hAnsi="Times New Roman" w:cs="Times New Roman"/>
          <w:sz w:val="24"/>
        </w:rPr>
        <w:t>1</w:t>
      </w:r>
      <w:r w:rsidR="00B33865">
        <w:rPr>
          <w:rFonts w:ascii="Times New Roman" w:hAnsi="Times New Roman" w:cs="Times New Roman"/>
          <w:sz w:val="24"/>
        </w:rPr>
        <w:t>0</w:t>
      </w:r>
      <w:r w:rsidRPr="000937E7">
        <w:rPr>
          <w:rFonts w:ascii="Times New Roman" w:hAnsi="Times New Roman" w:cs="Times New Roman"/>
          <w:sz w:val="24"/>
        </w:rPr>
        <w:t xml:space="preserve">. </w:t>
      </w:r>
      <w:r w:rsidR="00AB6C08" w:rsidRPr="000937E7">
        <w:rPr>
          <w:rFonts w:ascii="Times New Roman" w:hAnsi="Times New Roman" w:cs="Times New Roman"/>
          <w:sz w:val="24"/>
        </w:rPr>
        <w:t xml:space="preserve">В связи со сложившейся геополитической обстановкой в перспективе </w:t>
      </w:r>
      <w:r w:rsidR="00AC3882" w:rsidRPr="000937E7">
        <w:rPr>
          <w:rFonts w:ascii="Times New Roman" w:hAnsi="Times New Roman" w:cs="Times New Roman"/>
          <w:sz w:val="24"/>
        </w:rPr>
        <w:t xml:space="preserve">следует </w:t>
      </w:r>
      <w:r w:rsidR="00092F16" w:rsidRPr="000937E7">
        <w:rPr>
          <w:rFonts w:ascii="Times New Roman" w:hAnsi="Times New Roman" w:cs="Times New Roman"/>
          <w:sz w:val="24"/>
        </w:rPr>
        <w:t>ожида</w:t>
      </w:r>
      <w:r w:rsidR="00AB6C08" w:rsidRPr="000937E7">
        <w:rPr>
          <w:rFonts w:ascii="Times New Roman" w:hAnsi="Times New Roman" w:cs="Times New Roman"/>
          <w:sz w:val="24"/>
        </w:rPr>
        <w:t>т</w:t>
      </w:r>
      <w:r w:rsidR="00AC3882" w:rsidRPr="000937E7">
        <w:rPr>
          <w:rFonts w:ascii="Times New Roman" w:hAnsi="Times New Roman" w:cs="Times New Roman"/>
          <w:sz w:val="24"/>
        </w:rPr>
        <w:t>ь</w:t>
      </w:r>
      <w:r w:rsidR="00CE07D6">
        <w:rPr>
          <w:rFonts w:ascii="Times New Roman" w:hAnsi="Times New Roman" w:cs="Times New Roman"/>
          <w:sz w:val="24"/>
        </w:rPr>
        <w:t xml:space="preserve"> </w:t>
      </w:r>
      <w:r w:rsidR="00AB6C08" w:rsidRPr="000937E7">
        <w:rPr>
          <w:rFonts w:ascii="Times New Roman" w:hAnsi="Times New Roman" w:cs="Times New Roman"/>
          <w:sz w:val="24"/>
        </w:rPr>
        <w:t>усилени</w:t>
      </w:r>
      <w:r w:rsidR="00194314">
        <w:rPr>
          <w:rFonts w:ascii="Times New Roman" w:hAnsi="Times New Roman" w:cs="Times New Roman"/>
          <w:sz w:val="24"/>
        </w:rPr>
        <w:t>я</w:t>
      </w:r>
      <w:r w:rsidR="00AB6C08" w:rsidRPr="000937E7">
        <w:rPr>
          <w:rFonts w:ascii="Times New Roman" w:hAnsi="Times New Roman" w:cs="Times New Roman"/>
          <w:sz w:val="24"/>
        </w:rPr>
        <w:t xml:space="preserve"> влияния </w:t>
      </w:r>
      <w:r w:rsidR="00CE07D6" w:rsidRPr="000937E7">
        <w:rPr>
          <w:rFonts w:ascii="Times New Roman" w:hAnsi="Times New Roman" w:cs="Times New Roman"/>
          <w:sz w:val="24"/>
        </w:rPr>
        <w:t xml:space="preserve">на предпринимательскую и инвестиционную активность </w:t>
      </w:r>
      <w:r w:rsidR="00CE07D6">
        <w:rPr>
          <w:rFonts w:ascii="Times New Roman" w:hAnsi="Times New Roman" w:cs="Times New Roman"/>
          <w:sz w:val="24"/>
        </w:rPr>
        <w:t xml:space="preserve">в России </w:t>
      </w:r>
      <w:r w:rsidR="00AB6C08" w:rsidRPr="000937E7">
        <w:rPr>
          <w:rFonts w:ascii="Times New Roman" w:hAnsi="Times New Roman" w:cs="Times New Roman"/>
          <w:sz w:val="24"/>
        </w:rPr>
        <w:t>фактор</w:t>
      </w:r>
      <w:r w:rsidR="00CE07D6">
        <w:rPr>
          <w:rFonts w:ascii="Times New Roman" w:hAnsi="Times New Roman" w:cs="Times New Roman"/>
          <w:sz w:val="24"/>
        </w:rPr>
        <w:t>ов</w:t>
      </w:r>
      <w:r w:rsidR="00AB6C08" w:rsidRPr="000937E7">
        <w:rPr>
          <w:rFonts w:ascii="Times New Roman" w:hAnsi="Times New Roman" w:cs="Times New Roman"/>
          <w:sz w:val="24"/>
        </w:rPr>
        <w:t xml:space="preserve"> внешней конъюнктуры мировых рынк</w:t>
      </w:r>
      <w:r w:rsidR="00AC3882" w:rsidRPr="000937E7">
        <w:rPr>
          <w:rFonts w:ascii="Times New Roman" w:hAnsi="Times New Roman" w:cs="Times New Roman"/>
          <w:sz w:val="24"/>
        </w:rPr>
        <w:t>ов</w:t>
      </w:r>
      <w:r w:rsidR="00AB6C08" w:rsidRPr="000937E7">
        <w:rPr>
          <w:rFonts w:ascii="Times New Roman" w:hAnsi="Times New Roman" w:cs="Times New Roman"/>
          <w:sz w:val="24"/>
        </w:rPr>
        <w:t xml:space="preserve"> и </w:t>
      </w:r>
      <w:r w:rsidR="00AC3882" w:rsidRPr="000937E7">
        <w:rPr>
          <w:rFonts w:ascii="Times New Roman" w:hAnsi="Times New Roman" w:cs="Times New Roman"/>
          <w:sz w:val="24"/>
        </w:rPr>
        <w:t>не</w:t>
      </w:r>
      <w:r w:rsidRPr="000937E7">
        <w:rPr>
          <w:rFonts w:ascii="Times New Roman" w:hAnsi="Times New Roman" w:cs="Times New Roman"/>
          <w:sz w:val="24"/>
        </w:rPr>
        <w:t>определенности</w:t>
      </w:r>
      <w:r w:rsidR="00AB6C08" w:rsidRPr="000937E7">
        <w:rPr>
          <w:rFonts w:ascii="Times New Roman" w:hAnsi="Times New Roman" w:cs="Times New Roman"/>
          <w:sz w:val="24"/>
        </w:rPr>
        <w:t xml:space="preserve"> экономической ситуации в</w:t>
      </w:r>
      <w:r w:rsidR="00166850">
        <w:rPr>
          <w:rFonts w:ascii="Times New Roman" w:hAnsi="Times New Roman" w:cs="Times New Roman"/>
          <w:sz w:val="24"/>
        </w:rPr>
        <w:t>нутри страны</w:t>
      </w:r>
      <w:r w:rsidR="000937E7">
        <w:rPr>
          <w:rFonts w:ascii="Times New Roman" w:hAnsi="Times New Roman" w:cs="Times New Roman"/>
          <w:sz w:val="24"/>
        </w:rPr>
        <w:t>.</w:t>
      </w:r>
      <w:r w:rsidR="00AB6C08" w:rsidRPr="000937E7">
        <w:rPr>
          <w:rFonts w:ascii="Times New Roman" w:hAnsi="Times New Roman" w:cs="Times New Roman"/>
          <w:sz w:val="24"/>
        </w:rPr>
        <w:t xml:space="preserve"> </w:t>
      </w:r>
      <w:r w:rsidRPr="000937E7">
        <w:rPr>
          <w:rFonts w:ascii="Times New Roman" w:hAnsi="Times New Roman" w:cs="Times New Roman"/>
          <w:sz w:val="24"/>
        </w:rPr>
        <w:t>Р</w:t>
      </w:r>
      <w:r w:rsidR="00AB6C08" w:rsidRPr="000937E7">
        <w:rPr>
          <w:rFonts w:ascii="Times New Roman" w:hAnsi="Times New Roman" w:cs="Times New Roman"/>
          <w:sz w:val="24"/>
        </w:rPr>
        <w:t>оссийская</w:t>
      </w:r>
      <w:r w:rsidRPr="000937E7">
        <w:rPr>
          <w:rFonts w:ascii="Times New Roman" w:hAnsi="Times New Roman" w:cs="Times New Roman"/>
          <w:sz w:val="24"/>
        </w:rPr>
        <w:t xml:space="preserve"> экономика</w:t>
      </w:r>
      <w:r w:rsidR="00AB6C08" w:rsidRPr="000937E7">
        <w:rPr>
          <w:rFonts w:ascii="Times New Roman" w:hAnsi="Times New Roman" w:cs="Times New Roman"/>
          <w:sz w:val="24"/>
        </w:rPr>
        <w:t xml:space="preserve"> может оказаться в </w:t>
      </w:r>
      <w:r w:rsidRPr="000937E7">
        <w:rPr>
          <w:rFonts w:ascii="Times New Roman" w:hAnsi="Times New Roman" w:cs="Times New Roman"/>
          <w:sz w:val="24"/>
        </w:rPr>
        <w:t>условиях</w:t>
      </w:r>
      <w:r w:rsidR="00AB6C08" w:rsidRPr="000937E7">
        <w:rPr>
          <w:rFonts w:ascii="Times New Roman" w:hAnsi="Times New Roman" w:cs="Times New Roman"/>
          <w:sz w:val="24"/>
        </w:rPr>
        <w:t xml:space="preserve"> </w:t>
      </w:r>
      <w:r w:rsidR="00194314">
        <w:rPr>
          <w:rFonts w:ascii="Times New Roman" w:hAnsi="Times New Roman" w:cs="Times New Roman"/>
          <w:sz w:val="24"/>
        </w:rPr>
        <w:t xml:space="preserve">длительной </w:t>
      </w:r>
      <w:r w:rsidR="00AB6C08" w:rsidRPr="000937E7">
        <w:rPr>
          <w:rFonts w:ascii="Times New Roman" w:hAnsi="Times New Roman" w:cs="Times New Roman"/>
          <w:sz w:val="24"/>
        </w:rPr>
        <w:t>изоляции от мировых финансовых и потребительских рынков, дефицита важнейших производственных ресурсов</w:t>
      </w:r>
      <w:r w:rsidRPr="000937E7">
        <w:rPr>
          <w:rFonts w:ascii="Times New Roman" w:hAnsi="Times New Roman" w:cs="Times New Roman"/>
          <w:sz w:val="24"/>
        </w:rPr>
        <w:t xml:space="preserve">, что </w:t>
      </w:r>
      <w:r w:rsidR="00AB6C08" w:rsidRPr="000937E7">
        <w:rPr>
          <w:rFonts w:ascii="Times New Roman" w:hAnsi="Times New Roman" w:cs="Times New Roman"/>
          <w:sz w:val="24"/>
        </w:rPr>
        <w:t xml:space="preserve">способно негативным образом сказаться на развитии отраслевой динамики. </w:t>
      </w:r>
      <w:r w:rsidR="00D857C7">
        <w:rPr>
          <w:rFonts w:ascii="Times New Roman" w:hAnsi="Times New Roman" w:cs="Times New Roman"/>
          <w:sz w:val="24"/>
        </w:rPr>
        <w:t xml:space="preserve">Экономические предпосылки </w:t>
      </w:r>
      <w:r w:rsidRPr="000937E7">
        <w:rPr>
          <w:rFonts w:ascii="Times New Roman" w:hAnsi="Times New Roman" w:cs="Times New Roman"/>
          <w:sz w:val="24"/>
        </w:rPr>
        <w:t xml:space="preserve">для преодоления </w:t>
      </w:r>
      <w:r w:rsidR="00D857C7">
        <w:rPr>
          <w:rFonts w:ascii="Times New Roman" w:hAnsi="Times New Roman" w:cs="Times New Roman"/>
          <w:sz w:val="24"/>
        </w:rPr>
        <w:t>негативных</w:t>
      </w:r>
      <w:r w:rsidRPr="000937E7">
        <w:rPr>
          <w:rFonts w:ascii="Times New Roman" w:hAnsi="Times New Roman" w:cs="Times New Roman"/>
          <w:sz w:val="24"/>
        </w:rPr>
        <w:t xml:space="preserve"> тенденций </w:t>
      </w:r>
      <w:r w:rsidR="00194314">
        <w:rPr>
          <w:rFonts w:ascii="Times New Roman" w:hAnsi="Times New Roman" w:cs="Times New Roman"/>
          <w:sz w:val="24"/>
        </w:rPr>
        <w:t>могут быть сформированы</w:t>
      </w:r>
      <w:r w:rsidRPr="000937E7">
        <w:rPr>
          <w:rFonts w:ascii="Times New Roman" w:hAnsi="Times New Roman" w:cs="Times New Roman"/>
          <w:sz w:val="24"/>
        </w:rPr>
        <w:t xml:space="preserve"> </w:t>
      </w:r>
      <w:r w:rsidR="00AB6C08" w:rsidRPr="000937E7">
        <w:rPr>
          <w:rFonts w:ascii="Times New Roman" w:hAnsi="Times New Roman" w:cs="Times New Roman"/>
          <w:sz w:val="24"/>
        </w:rPr>
        <w:t xml:space="preserve">в тех отраслях и регионах, </w:t>
      </w:r>
      <w:r w:rsidR="00194314">
        <w:rPr>
          <w:rFonts w:ascii="Times New Roman" w:hAnsi="Times New Roman" w:cs="Times New Roman"/>
          <w:sz w:val="24"/>
        </w:rPr>
        <w:t xml:space="preserve">где эффективно решаются проблемы сохранения деловой активности и рабочих мест, </w:t>
      </w:r>
      <w:r w:rsidR="00245E5D">
        <w:rPr>
          <w:rFonts w:ascii="Times New Roman" w:hAnsi="Times New Roman" w:cs="Times New Roman"/>
          <w:sz w:val="24"/>
        </w:rPr>
        <w:t xml:space="preserve"> </w:t>
      </w:r>
      <w:r w:rsidR="00194314" w:rsidRPr="000937E7">
        <w:rPr>
          <w:rFonts w:ascii="Times New Roman" w:hAnsi="Times New Roman" w:cs="Times New Roman"/>
          <w:sz w:val="24"/>
        </w:rPr>
        <w:t>стимулировани</w:t>
      </w:r>
      <w:r w:rsidR="00194314">
        <w:rPr>
          <w:rFonts w:ascii="Times New Roman" w:hAnsi="Times New Roman" w:cs="Times New Roman"/>
          <w:sz w:val="24"/>
        </w:rPr>
        <w:t>я</w:t>
      </w:r>
      <w:r w:rsidR="00194314" w:rsidRPr="000937E7">
        <w:rPr>
          <w:rFonts w:ascii="Times New Roman" w:hAnsi="Times New Roman" w:cs="Times New Roman"/>
          <w:sz w:val="24"/>
        </w:rPr>
        <w:t xml:space="preserve"> притока молодых и инновационных компаний с высоким потенциалом роста</w:t>
      </w:r>
      <w:r w:rsidR="00194314">
        <w:rPr>
          <w:rFonts w:ascii="Times New Roman" w:hAnsi="Times New Roman" w:cs="Times New Roman"/>
          <w:sz w:val="24"/>
        </w:rPr>
        <w:t xml:space="preserve">. Необходимо </w:t>
      </w:r>
      <w:r w:rsidR="00194314" w:rsidRPr="000937E7">
        <w:rPr>
          <w:rFonts w:ascii="Times New Roman" w:hAnsi="Times New Roman" w:cs="Times New Roman"/>
          <w:sz w:val="24"/>
        </w:rPr>
        <w:t xml:space="preserve">повышение доли новых </w:t>
      </w:r>
      <w:r w:rsidR="00B33865">
        <w:rPr>
          <w:rFonts w:ascii="Times New Roman" w:hAnsi="Times New Roman" w:cs="Times New Roman"/>
          <w:sz w:val="24"/>
        </w:rPr>
        <w:t xml:space="preserve">российских </w:t>
      </w:r>
      <w:r w:rsidR="00194314" w:rsidRPr="000937E7">
        <w:rPr>
          <w:rFonts w:ascii="Times New Roman" w:hAnsi="Times New Roman" w:cs="Times New Roman"/>
          <w:sz w:val="24"/>
        </w:rPr>
        <w:t xml:space="preserve">компаний, выживающих на начальных этапах </w:t>
      </w:r>
      <w:r w:rsidR="00194314">
        <w:rPr>
          <w:rFonts w:ascii="Times New Roman" w:hAnsi="Times New Roman" w:cs="Times New Roman"/>
          <w:sz w:val="24"/>
        </w:rPr>
        <w:t xml:space="preserve">своего </w:t>
      </w:r>
      <w:r w:rsidR="00194314" w:rsidRPr="000937E7">
        <w:rPr>
          <w:rFonts w:ascii="Times New Roman" w:hAnsi="Times New Roman" w:cs="Times New Roman"/>
          <w:sz w:val="24"/>
        </w:rPr>
        <w:t>жизненного цикла</w:t>
      </w:r>
      <w:r w:rsidR="00194314">
        <w:rPr>
          <w:rFonts w:ascii="Times New Roman" w:hAnsi="Times New Roman" w:cs="Times New Roman"/>
          <w:sz w:val="24"/>
        </w:rPr>
        <w:t>. Этому может способствовать</w:t>
      </w:r>
      <w:r w:rsidR="00194314" w:rsidRPr="000937E7">
        <w:rPr>
          <w:rFonts w:ascii="Times New Roman" w:hAnsi="Times New Roman" w:cs="Times New Roman"/>
          <w:sz w:val="24"/>
        </w:rPr>
        <w:t xml:space="preserve"> </w:t>
      </w:r>
      <w:r w:rsidR="00092F16" w:rsidRPr="000937E7">
        <w:rPr>
          <w:rFonts w:ascii="Times New Roman" w:hAnsi="Times New Roman" w:cs="Times New Roman"/>
          <w:sz w:val="24"/>
        </w:rPr>
        <w:t xml:space="preserve">дальнейшее </w:t>
      </w:r>
      <w:r w:rsidR="00AB6C08" w:rsidRPr="000937E7">
        <w:rPr>
          <w:rFonts w:ascii="Times New Roman" w:hAnsi="Times New Roman" w:cs="Times New Roman"/>
          <w:sz w:val="24"/>
        </w:rPr>
        <w:t xml:space="preserve">развитие </w:t>
      </w:r>
      <w:r w:rsidR="00194314">
        <w:rPr>
          <w:rFonts w:ascii="Times New Roman" w:hAnsi="Times New Roman" w:cs="Times New Roman"/>
          <w:sz w:val="24"/>
        </w:rPr>
        <w:t>региональных</w:t>
      </w:r>
      <w:r w:rsidR="00194314" w:rsidRPr="000937E7">
        <w:rPr>
          <w:rFonts w:ascii="Times New Roman" w:hAnsi="Times New Roman" w:cs="Times New Roman"/>
          <w:sz w:val="24"/>
        </w:rPr>
        <w:t xml:space="preserve"> </w:t>
      </w:r>
      <w:r w:rsidR="00AB6C08" w:rsidRPr="000937E7">
        <w:rPr>
          <w:rFonts w:ascii="Times New Roman" w:hAnsi="Times New Roman" w:cs="Times New Roman"/>
          <w:sz w:val="24"/>
        </w:rPr>
        <w:t xml:space="preserve">программ поддержки предпринимательства, </w:t>
      </w:r>
      <w:r w:rsidR="00194314">
        <w:rPr>
          <w:rFonts w:ascii="Times New Roman" w:hAnsi="Times New Roman" w:cs="Times New Roman"/>
          <w:sz w:val="24"/>
        </w:rPr>
        <w:t xml:space="preserve">включая инструменты </w:t>
      </w:r>
      <w:r w:rsidR="00AB6C08" w:rsidRPr="000937E7">
        <w:rPr>
          <w:rFonts w:ascii="Times New Roman" w:hAnsi="Times New Roman" w:cs="Times New Roman"/>
          <w:sz w:val="24"/>
        </w:rPr>
        <w:t>снижени</w:t>
      </w:r>
      <w:r w:rsidR="00194314">
        <w:rPr>
          <w:rFonts w:ascii="Times New Roman" w:hAnsi="Times New Roman" w:cs="Times New Roman"/>
          <w:sz w:val="24"/>
        </w:rPr>
        <w:t>я</w:t>
      </w:r>
      <w:r w:rsidR="00AB6C08" w:rsidRPr="000937E7">
        <w:rPr>
          <w:rFonts w:ascii="Times New Roman" w:hAnsi="Times New Roman" w:cs="Times New Roman"/>
          <w:sz w:val="24"/>
        </w:rPr>
        <w:t xml:space="preserve"> административных рисков ведения бизнеса и издержек производства.</w:t>
      </w:r>
      <w:r w:rsidR="00092F16" w:rsidRPr="000937E7">
        <w:rPr>
          <w:rFonts w:ascii="Times New Roman" w:hAnsi="Times New Roman" w:cs="Times New Roman"/>
          <w:sz w:val="24"/>
        </w:rPr>
        <w:t xml:space="preserve"> Определенный потенциал</w:t>
      </w:r>
      <w:r w:rsidR="00D857C7">
        <w:rPr>
          <w:rFonts w:ascii="Times New Roman" w:hAnsi="Times New Roman" w:cs="Times New Roman"/>
          <w:sz w:val="24"/>
        </w:rPr>
        <w:t xml:space="preserve"> достижения и сохранения</w:t>
      </w:r>
      <w:r w:rsidR="00092F16" w:rsidRPr="000937E7">
        <w:rPr>
          <w:rFonts w:ascii="Times New Roman" w:hAnsi="Times New Roman" w:cs="Times New Roman"/>
          <w:sz w:val="24"/>
        </w:rPr>
        <w:t xml:space="preserve"> положительной динамики компаний заложен в принятых антикризисных мерах Правительства РФ</w:t>
      </w:r>
      <w:r w:rsidR="000937E7" w:rsidRPr="000937E7">
        <w:rPr>
          <w:rFonts w:ascii="Times New Roman" w:hAnsi="Times New Roman" w:cs="Times New Roman"/>
          <w:sz w:val="24"/>
        </w:rPr>
        <w:t xml:space="preserve"> в 2022 году.</w:t>
      </w:r>
    </w:p>
    <w:p w:rsidR="00AB6C08" w:rsidRPr="000937E7" w:rsidRDefault="00AB6C08" w:rsidP="00092F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sectPr w:rsidR="00AB6C08" w:rsidRPr="000937E7" w:rsidSect="00673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D26" w:rsidRDefault="00A67D26" w:rsidP="00AB6C08">
      <w:pPr>
        <w:spacing w:after="0" w:line="240" w:lineRule="auto"/>
      </w:pPr>
      <w:r>
        <w:separator/>
      </w:r>
    </w:p>
  </w:endnote>
  <w:endnote w:type="continuationSeparator" w:id="0">
    <w:p w:rsidR="00A67D26" w:rsidRDefault="00A67D26" w:rsidP="00AB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D26" w:rsidRDefault="00A67D26" w:rsidP="00AB6C08">
      <w:pPr>
        <w:spacing w:after="0" w:line="240" w:lineRule="auto"/>
      </w:pPr>
      <w:r>
        <w:separator/>
      </w:r>
    </w:p>
  </w:footnote>
  <w:footnote w:type="continuationSeparator" w:id="0">
    <w:p w:rsidR="00A67D26" w:rsidRDefault="00A67D26" w:rsidP="00AB6C08">
      <w:pPr>
        <w:spacing w:after="0" w:line="240" w:lineRule="auto"/>
      </w:pPr>
      <w:r>
        <w:continuationSeparator/>
      </w:r>
    </w:p>
  </w:footnote>
  <w:footnote w:id="1">
    <w:p w:rsidR="005975A3" w:rsidRPr="002D5ED0" w:rsidRDefault="005975A3" w:rsidP="005975A3">
      <w:pPr>
        <w:spacing w:after="0" w:line="240" w:lineRule="auto"/>
        <w:jc w:val="both"/>
        <w:rPr>
          <w:sz w:val="20"/>
          <w:szCs w:val="20"/>
          <w:lang w:val="en-US"/>
        </w:rPr>
      </w:pPr>
      <w:r w:rsidRPr="002D5ED0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2D5ED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2D5ED0">
        <w:rPr>
          <w:rFonts w:ascii="Times New Roman" w:hAnsi="Times New Roman" w:cs="Times New Roman"/>
          <w:sz w:val="20"/>
          <w:szCs w:val="20"/>
          <w:lang w:val="en-US"/>
        </w:rPr>
        <w:t>OECD.</w:t>
      </w:r>
      <w:proofErr w:type="gramEnd"/>
      <w:r w:rsidRPr="002D5ED0">
        <w:rPr>
          <w:rFonts w:ascii="Times New Roman" w:hAnsi="Times New Roman" w:cs="Times New Roman"/>
          <w:sz w:val="20"/>
          <w:szCs w:val="20"/>
          <w:lang w:val="en-US"/>
        </w:rPr>
        <w:t xml:space="preserve"> Business dynamism during the COVID-19 pandemic: Which policies for an inclusive recovery? </w:t>
      </w:r>
      <w:proofErr w:type="gramStart"/>
      <w:r w:rsidRPr="002D5ED0">
        <w:rPr>
          <w:rFonts w:ascii="Times New Roman" w:hAnsi="Times New Roman" w:cs="Times New Roman"/>
          <w:i/>
          <w:sz w:val="20"/>
          <w:szCs w:val="20"/>
          <w:lang w:val="en-US"/>
        </w:rPr>
        <w:t>OECD Policy Responses to Coronavirus (COVID-19).</w:t>
      </w:r>
      <w:proofErr w:type="gramEnd"/>
      <w:r w:rsidRPr="002D5ED0">
        <w:rPr>
          <w:rFonts w:ascii="Times New Roman" w:hAnsi="Times New Roman" w:cs="Times New Roman"/>
          <w:sz w:val="20"/>
          <w:szCs w:val="20"/>
          <w:lang w:val="en-US"/>
        </w:rPr>
        <w:t xml:space="preserve"> OECD Publishing, Paris, 2021. 20 p. https://doi.org/10.1787/f08af011-en (</w:t>
      </w:r>
      <w:proofErr w:type="spellStart"/>
      <w:r w:rsidRPr="002D5ED0">
        <w:rPr>
          <w:rFonts w:ascii="Times New Roman" w:hAnsi="Times New Roman" w:cs="Times New Roman"/>
          <w:sz w:val="20"/>
          <w:szCs w:val="20"/>
          <w:lang w:val="en-US"/>
        </w:rPr>
        <w:t>дата</w:t>
      </w:r>
      <w:proofErr w:type="spellEnd"/>
      <w:r w:rsidRPr="002D5ED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D5ED0">
        <w:rPr>
          <w:rFonts w:ascii="Times New Roman" w:hAnsi="Times New Roman" w:cs="Times New Roman"/>
          <w:sz w:val="20"/>
          <w:szCs w:val="20"/>
          <w:lang w:val="en-US"/>
        </w:rPr>
        <w:t>обращения</w:t>
      </w:r>
      <w:proofErr w:type="spellEnd"/>
      <w:r w:rsidRPr="002D5ED0">
        <w:rPr>
          <w:rFonts w:ascii="Times New Roman" w:hAnsi="Times New Roman" w:cs="Times New Roman"/>
          <w:sz w:val="20"/>
          <w:szCs w:val="20"/>
          <w:lang w:val="en-US"/>
        </w:rPr>
        <w:t xml:space="preserve">: 12.02.2022). </w:t>
      </w:r>
    </w:p>
  </w:footnote>
  <w:footnote w:id="2">
    <w:p w:rsidR="000770EA" w:rsidRPr="00987D1B" w:rsidRDefault="000770EA" w:rsidP="000770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D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="00451E47">
        <w:rPr>
          <w:rFonts w:ascii="Times New Roman" w:hAnsi="Times New Roman" w:cs="Times New Roman"/>
          <w:sz w:val="20"/>
          <w:szCs w:val="20"/>
        </w:rPr>
        <w:t xml:space="preserve"> См.</w:t>
      </w:r>
      <w:r w:rsidRPr="00987D1B">
        <w:rPr>
          <w:rFonts w:ascii="Times New Roman" w:hAnsi="Times New Roman" w:cs="Times New Roman"/>
          <w:sz w:val="20"/>
          <w:szCs w:val="20"/>
        </w:rPr>
        <w:t xml:space="preserve"> Бессонова и др., 2021</w:t>
      </w:r>
      <w:r w:rsidR="00987D1B" w:rsidRPr="00987D1B">
        <w:rPr>
          <w:rFonts w:ascii="Times New Roman" w:hAnsi="Times New Roman" w:cs="Times New Roman"/>
          <w:sz w:val="20"/>
          <w:szCs w:val="20"/>
        </w:rPr>
        <w:t xml:space="preserve">. </w:t>
      </w:r>
      <w:r w:rsidR="00E41935" w:rsidRPr="00987D1B">
        <w:rPr>
          <w:rFonts w:ascii="Times New Roman" w:hAnsi="Times New Roman" w:cs="Times New Roman"/>
          <w:sz w:val="20"/>
          <w:szCs w:val="20"/>
        </w:rPr>
        <w:t>Кто выходит с рынка в период пандемии // Вопросы экономики. 2021. № 10. С. 113–133</w:t>
      </w:r>
      <w:r w:rsidR="00451E47">
        <w:rPr>
          <w:rFonts w:ascii="Times New Roman" w:hAnsi="Times New Roman" w:cs="Times New Roman"/>
          <w:sz w:val="20"/>
          <w:szCs w:val="20"/>
        </w:rPr>
        <w:t>.</w:t>
      </w:r>
    </w:p>
  </w:footnote>
  <w:footnote w:id="3">
    <w:p w:rsidR="000770EA" w:rsidRPr="00E41935" w:rsidRDefault="000770EA" w:rsidP="000770EA">
      <w:pPr>
        <w:pStyle w:val="a4"/>
        <w:rPr>
          <w:rFonts w:ascii="Times New Roman" w:hAnsi="Times New Roman" w:cs="Times New Roman"/>
        </w:rPr>
      </w:pPr>
      <w:r w:rsidRPr="00987D1B">
        <w:rPr>
          <w:rStyle w:val="a3"/>
          <w:rFonts w:ascii="Times New Roman" w:hAnsi="Times New Roman" w:cs="Times New Roman"/>
        </w:rPr>
        <w:footnoteRef/>
      </w:r>
      <w:r w:rsidR="00E41935" w:rsidRPr="00987D1B">
        <w:rPr>
          <w:rFonts w:ascii="Times New Roman" w:hAnsi="Times New Roman" w:cs="Times New Roman"/>
        </w:rPr>
        <w:t xml:space="preserve"> </w:t>
      </w:r>
      <w:r w:rsidR="00451E47">
        <w:rPr>
          <w:rFonts w:ascii="Times New Roman" w:hAnsi="Times New Roman" w:cs="Times New Roman"/>
        </w:rPr>
        <w:t xml:space="preserve">См. </w:t>
      </w:r>
      <w:proofErr w:type="spellStart"/>
      <w:r w:rsidRPr="00987D1B">
        <w:rPr>
          <w:rFonts w:ascii="Times New Roman" w:hAnsi="Times New Roman" w:cs="Times New Roman"/>
        </w:rPr>
        <w:t>Верховская</w:t>
      </w:r>
      <w:proofErr w:type="spellEnd"/>
      <w:r w:rsidRPr="00987D1B">
        <w:rPr>
          <w:rFonts w:ascii="Times New Roman" w:hAnsi="Times New Roman" w:cs="Times New Roman"/>
        </w:rPr>
        <w:t xml:space="preserve"> и др., </w:t>
      </w:r>
      <w:r w:rsidR="00E41935" w:rsidRPr="00987D1B">
        <w:rPr>
          <w:rFonts w:ascii="Times New Roman" w:hAnsi="Times New Roman" w:cs="Times New Roman"/>
        </w:rPr>
        <w:t>(2021). Глобальный мониторинг предпринимательства. Россия 2020/2021: Национальный отчет. СПб</w:t>
      </w:r>
      <w:proofErr w:type="gramStart"/>
      <w:r w:rsidR="00E41935" w:rsidRPr="00987D1B">
        <w:rPr>
          <w:rFonts w:ascii="Times New Roman" w:hAnsi="Times New Roman" w:cs="Times New Roman"/>
        </w:rPr>
        <w:t xml:space="preserve">.: </w:t>
      </w:r>
      <w:proofErr w:type="gramEnd"/>
      <w:r w:rsidR="00E41935" w:rsidRPr="00987D1B">
        <w:rPr>
          <w:rFonts w:ascii="Times New Roman" w:hAnsi="Times New Roman" w:cs="Times New Roman"/>
        </w:rPr>
        <w:t>ВШМ СПбГУ.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C08"/>
    <w:rsid w:val="00005AAE"/>
    <w:rsid w:val="000321BD"/>
    <w:rsid w:val="0004421B"/>
    <w:rsid w:val="0007133E"/>
    <w:rsid w:val="000770EA"/>
    <w:rsid w:val="00092F16"/>
    <w:rsid w:val="000937E7"/>
    <w:rsid w:val="000B55CD"/>
    <w:rsid w:val="00166850"/>
    <w:rsid w:val="00194314"/>
    <w:rsid w:val="001B06B2"/>
    <w:rsid w:val="00245E5D"/>
    <w:rsid w:val="00270C2D"/>
    <w:rsid w:val="00272DA4"/>
    <w:rsid w:val="0027600C"/>
    <w:rsid w:val="002C48B0"/>
    <w:rsid w:val="00367878"/>
    <w:rsid w:val="003D315F"/>
    <w:rsid w:val="00411B65"/>
    <w:rsid w:val="00451E47"/>
    <w:rsid w:val="005332DB"/>
    <w:rsid w:val="005863CA"/>
    <w:rsid w:val="00595A55"/>
    <w:rsid w:val="005975A3"/>
    <w:rsid w:val="005F58FD"/>
    <w:rsid w:val="00602B76"/>
    <w:rsid w:val="00624292"/>
    <w:rsid w:val="00656F09"/>
    <w:rsid w:val="00665648"/>
    <w:rsid w:val="00673005"/>
    <w:rsid w:val="0067331A"/>
    <w:rsid w:val="006C5F64"/>
    <w:rsid w:val="006E7335"/>
    <w:rsid w:val="00705827"/>
    <w:rsid w:val="00730B3F"/>
    <w:rsid w:val="0075698C"/>
    <w:rsid w:val="00771217"/>
    <w:rsid w:val="007A5486"/>
    <w:rsid w:val="007C0326"/>
    <w:rsid w:val="007E69AC"/>
    <w:rsid w:val="007F42AB"/>
    <w:rsid w:val="008F321F"/>
    <w:rsid w:val="00967F6D"/>
    <w:rsid w:val="009720FE"/>
    <w:rsid w:val="00987D1B"/>
    <w:rsid w:val="00995B1B"/>
    <w:rsid w:val="009E49C9"/>
    <w:rsid w:val="00A44AD9"/>
    <w:rsid w:val="00A67D26"/>
    <w:rsid w:val="00AB6C08"/>
    <w:rsid w:val="00AC3882"/>
    <w:rsid w:val="00B33865"/>
    <w:rsid w:val="00B36AF2"/>
    <w:rsid w:val="00B4393D"/>
    <w:rsid w:val="00B74053"/>
    <w:rsid w:val="00B835F3"/>
    <w:rsid w:val="00BA4611"/>
    <w:rsid w:val="00BC5096"/>
    <w:rsid w:val="00BD576B"/>
    <w:rsid w:val="00BE08CD"/>
    <w:rsid w:val="00BE2B1D"/>
    <w:rsid w:val="00C4466D"/>
    <w:rsid w:val="00C75BB4"/>
    <w:rsid w:val="00C933F2"/>
    <w:rsid w:val="00C96D26"/>
    <w:rsid w:val="00CE07D6"/>
    <w:rsid w:val="00CE245B"/>
    <w:rsid w:val="00D703CD"/>
    <w:rsid w:val="00D857C7"/>
    <w:rsid w:val="00DA7E57"/>
    <w:rsid w:val="00DC1B14"/>
    <w:rsid w:val="00E374B7"/>
    <w:rsid w:val="00E41935"/>
    <w:rsid w:val="00E50DD3"/>
    <w:rsid w:val="00EA0F99"/>
    <w:rsid w:val="00EB1FCB"/>
    <w:rsid w:val="00EC6842"/>
    <w:rsid w:val="00EE1FF6"/>
    <w:rsid w:val="00F16E4B"/>
    <w:rsid w:val="00F55288"/>
    <w:rsid w:val="00F75ADC"/>
    <w:rsid w:val="00F81E01"/>
    <w:rsid w:val="00F94CE0"/>
    <w:rsid w:val="00FB6602"/>
    <w:rsid w:val="00FE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AB6C08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AB6C0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B6C08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B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6C0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092F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5F3EF-34F0-45C3-93DD-FA191EF0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Алла</cp:lastModifiedBy>
  <cp:revision>2</cp:revision>
  <dcterms:created xsi:type="dcterms:W3CDTF">2022-09-06T19:40:00Z</dcterms:created>
  <dcterms:modified xsi:type="dcterms:W3CDTF">2022-09-06T19:40:00Z</dcterms:modified>
</cp:coreProperties>
</file>